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Siemens Teamcenter PLM - Konzern-Systemdokumentation (Entwurf)</w:t>
      </w:r>
    </w:p>
    <w:p>
      <w:pPr>
        <w:jc w:val="center"/>
      </w:pPr>
      <w:r>
        <w:t>REA-PLM-TC-2022</w:t>
      </w:r>
    </w:p>
    <w:p/>
    <w:p>
      <w:pPr>
        <w:pStyle w:val="Heading3"/>
      </w:pPr>
      <w:r>
        <w:t>Dokumentenkontrolle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Siemens Teamcenter PLM - Konzern-Systemdokumentation</w:t>
            </w:r>
          </w:p>
        </w:tc>
      </w:tr>
      <w:tr>
        <w:tc>
          <w:tcPr>
            <w:tcW w:type="dxa" w:w="4320"/>
          </w:tcPr>
          <w:p>
            <w:r>
              <w:t>Kuerzel</w:t>
            </w:r>
          </w:p>
        </w:tc>
        <w:tc>
          <w:tcPr>
            <w:tcW w:type="dxa" w:w="4320"/>
          </w:tcPr>
          <w:p>
            <w:r>
              <w:t>REA-PLM-TC-2022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0.9 (ENTWURF)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Johannes Schaal, PLM-Lead Konzern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September 2022 (Entwurf, finale Freigabe ausstehend)</w:t>
            </w:r>
          </w:p>
        </w:tc>
      </w:tr>
    </w:tbl>
    <w:p>
      <w:pPr>
        <w:pStyle w:val="Heading3"/>
      </w:pPr>
      <w:r>
        <w:t>1. Loesungsbeschreibung</w:t>
      </w:r>
    </w:p>
    <w:p>
      <w:r>
        <w:t>Siemens Teamcenter 14.2 als zentrales PLM-System der Brennhagen Elektronik AG. Hauptanwender: RSG Muenchen (ADAS, Embedded SW), Engineering REG Heilbronn (Konstruktion, Stuecklisten), QM. Active Workspace 6.2 fuer Web-Zugriff. Implementierungspartner: Siemens Digital Industries Software.</w:t>
      </w:r>
    </w:p>
    <w:p>
      <w:pPr>
        <w:pStyle w:val="Heading3"/>
      </w:pPr>
      <w:r>
        <w:t>2. Funktionsumfang</w:t>
      </w:r>
    </w:p>
    <w:p>
      <w:r>
        <w:t>Stuecklisten (BoM) Engineering und Manufacturing, Aenderungsmanagement (ECR/ECN/ECO mit Workflow ueber Stage-Gate), CAD-Integration (Siemens NX, Catia V5 fuer Mercedes-Templates, Solidworks fuer RSG), Dokumentenmanagement, Variantenkonfiguration, Anforderungsmanagement (Polarion-Integration via OSLC), SAP-Integration ueber TC4S (Teamcenter for SAP).</w:t>
      </w:r>
    </w:p>
    <w:p>
      <w:pPr>
        <w:pStyle w:val="Heading3"/>
      </w:pPr>
      <w:r>
        <w:t>3. Werks-Anbindung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Standort</w:t>
            </w:r>
          </w:p>
        </w:tc>
        <w:tc>
          <w:tcPr>
            <w:tcW w:type="dxa" w:w="2880"/>
          </w:tcPr>
          <w:p>
            <w:r>
              <w:t>Nutzung</w:t>
            </w:r>
          </w:p>
        </w:tc>
        <w:tc>
          <w:tcPr>
            <w:tcW w:type="dxa" w:w="2880"/>
          </w:tcPr>
          <w:p>
            <w:r>
              <w:t>Anbindung</w:t>
            </w:r>
          </w:p>
        </w:tc>
      </w:tr>
      <w:tr>
        <w:tc>
          <w:tcPr>
            <w:tcW w:type="dxa" w:w="2880"/>
          </w:tcPr>
          <w:p>
            <w:r>
              <w:t>RSG Muenchen</w:t>
            </w:r>
          </w:p>
        </w:tc>
        <w:tc>
          <w:tcPr>
            <w:tcW w:type="dxa" w:w="2880"/>
          </w:tcPr>
          <w:p>
            <w:r>
              <w:t>ADAS-Entwicklung, SW-Plattform, ASPICE-Konformitaet</w:t>
            </w:r>
          </w:p>
        </w:tc>
        <w:tc>
          <w:tcPr>
            <w:tcW w:type="dxa" w:w="2880"/>
          </w:tcPr>
          <w:p>
            <w:r>
              <w:t>primaerer PLM-Standort</w:t>
            </w:r>
          </w:p>
        </w:tc>
      </w:tr>
      <w:tr>
        <w:tc>
          <w:tcPr>
            <w:tcW w:type="dxa" w:w="2880"/>
          </w:tcPr>
          <w:p>
            <w:r>
              <w:t>REG Heilbronn</w:t>
            </w:r>
          </w:p>
        </w:tc>
        <w:tc>
          <w:tcPr>
            <w:tcW w:type="dxa" w:w="2880"/>
          </w:tcPr>
          <w:p>
            <w:r>
              <w:t>Mechanische Konstruktion, Werks-BoM</w:t>
            </w:r>
          </w:p>
        </w:tc>
        <w:tc>
          <w:tcPr>
            <w:tcW w:type="dxa" w:w="2880"/>
          </w:tcPr>
          <w:p>
            <w:r>
              <w:t>VPN, lokale Caching-Server</w:t>
            </w:r>
          </w:p>
        </w:tc>
      </w:tr>
      <w:tr>
        <w:tc>
          <w:tcPr>
            <w:tcW w:type="dxa" w:w="2880"/>
          </w:tcPr>
          <w:p>
            <w:r>
              <w:t>RPL/RCZ/RHU</w:t>
            </w:r>
          </w:p>
        </w:tc>
        <w:tc>
          <w:tcPr>
            <w:tcW w:type="dxa" w:w="2880"/>
          </w:tcPr>
          <w:p>
            <w:r>
              <w:t>Lesezugriff Manufacturing-BoM</w:t>
            </w:r>
          </w:p>
        </w:tc>
        <w:tc>
          <w:tcPr>
            <w:tcW w:type="dxa" w:w="2880"/>
          </w:tcPr>
          <w:p>
            <w:r>
              <w:t>VPN read-only</w:t>
            </w:r>
          </w:p>
        </w:tc>
      </w:tr>
      <w:tr>
        <w:tc>
          <w:tcPr>
            <w:tcW w:type="dxa" w:w="2880"/>
          </w:tcPr>
          <w:p>
            <w:r>
              <w:t>Externe Engineering-Dienstleister</w:t>
            </w:r>
          </w:p>
        </w:tc>
        <w:tc>
          <w:tcPr>
            <w:tcW w:type="dxa" w:w="2880"/>
          </w:tcPr>
          <w:p>
            <w:r>
              <w:t>Bertrandt, EDAG (limitiert)</w:t>
            </w:r>
          </w:p>
        </w:tc>
        <w:tc>
          <w:tcPr>
            <w:tcW w:type="dxa" w:w="2880"/>
          </w:tcPr>
          <w:p>
            <w:r>
              <w:t>B2B-Federation</w:t>
            </w:r>
          </w:p>
        </w:tc>
      </w:tr>
    </w:tbl>
    <w:p>
      <w:pPr>
        <w:pStyle w:val="Heading3"/>
      </w:pPr>
      <w:r>
        <w:t>4. Sicherheit</w:t>
      </w:r>
    </w:p>
    <w:p>
      <w:r>
        <w:t>Authentifizierung ueber Entra ID SAML; Rollenmodell ca. 65 Rollen (Engineering, QM, Vertrieb, Service). Schutz vertraulicher Konstruktionsdaten (insbesondere ADAS-Algorithmen) ueber Data-Loss-Prevention (Microsoft Purview) und Watermarking bei externen Sharings.</w:t>
      </w:r>
    </w:p>
    <w:p>
      <w:pPr>
        <w:pStyle w:val="Heading3"/>
      </w:pPr>
      <w:r>
        <w:t>5. Offene Punkte (Entwurf)</w:t>
      </w:r>
    </w:p>
    <w:p>
      <w:r>
        <w:t>Warm-Standby PLM in Heilbronn (siehe DR-Test 2023 Finding F1) noch nicht umgesetzt; Investitionsantrag in Capex-Liste 2024. Polarion-Integration zu RSG noch im PoC-Status. ECO-Workflow fuer kritische Sicherheits-Aenderungen (ASIL D) wird im Q4/2023 final ueberarbeitet.</w:t>
      </w:r>
    </w:p>
    <w:p>
      <w:pPr>
        <w:pStyle w:val="Heading3"/>
      </w:pPr>
      <w:r>
        <w:t>6. Status</w:t>
      </w:r>
    </w:p>
    <w:p>
      <w:r>
        <w:t>Dieser Bericht hat den Status ENTWURF und ist nicht zur externen Weitergabe geeignet. Final-Freigabe geplant nach finalem Architecture-Review-Board am 15.11.2023.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