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Freedom-to-Operate-Stellungnahme ADAS-V4D fuer BMW-Lieferung 2023</w:t>
      </w:r>
    </w:p>
    <w:p/>
    <w:p>
      <w:pPr>
        <w:pStyle w:val="Heading3"/>
      </w:pPr>
      <w:r>
        <w:t>1. Einleitung und Hintergrund</w:t>
      </w:r>
    </w:p>
    <w:p>
      <w:r>
        <w:t>Freedom-to-Operate-(FTO)-Stellungnahme fuer das Radar-Fusion-Steuergeraet ADAS-V4D, das von der Brennhagen Elektronik AG an die BMW Group geliefert wird. Die Stellungnahme dient als Anlage zum BMW-Rahmenliefervertrag und ist insbesondere fuer die Mitversicherung in der Konzern-Produkthaftpflichtpolice der AGCS sowie der Cyber-Police (sicherheits-kritische OTA-Funktionalitaet) relevant.</w:t>
      </w:r>
    </w:p>
    <w:p>
      <w:pPr>
        <w:pStyle w:val="Heading3"/>
      </w:pPr>
      <w:r>
        <w:t>2. Sachverhalt</w:t>
      </w:r>
    </w:p>
    <w:p>
      <w:r>
        <w:t>Pruefumfang der FTO: Die Patentabteilung der Brennhagen Elektronik AG (Leitung: Dipl.-Ing. Patentanwalt Dr. Markus Reuter, Boehmert &amp; Boehmert) hat in Zusammenarbeit mit der externen Kanzlei Hoffmann Eitle (Muenchen) eine umfassende Patentrecherche in den Datenbanken DEPATISnet, EPO Espacenet und USPTO durchgefuehrt. Geprueft wurden die patentrechtlich relevanten Funktionsbloecke des ADAS-V4D: Radar-Fusion-Algorithmik, Sensor-Pre-Processing, Kommunikationsstack (AUTOSAR-Adaptive), OTA-Update-Mechanismus.</w:t>
      </w:r>
    </w:p>
    <w:p>
      <w:pPr>
        <w:pStyle w:val="Heading3"/>
      </w:pPr>
      <w:r>
        <w:t>3. Bewertung und Massnahmen</w:t>
      </w:r>
    </w:p>
    <w:p>
      <w:r>
        <w:t>Ergebnis: Es wurden 12 potenziell relevante Patente identifiziert (u.a. Bosch, Continental, Mobileye, Aptiv). Fuer 4 Patente besteht eine Lizenzvereinbarung (LVK), fuer 6 Patente wurde nach Pruefung keine Verletzung festgestellt (no infringement opinion durch Hoffmann Eitle), fuer 2 Patente (Aptiv US 11 234 567 B2 und Mobileye EP 3 456 789 B1) wurde eine Design-around-Implementierung in Firmware-Version 2.4 vorgenommen.</w:t>
      </w:r>
    </w:p>
    <w:p>
      <w:pPr>
        <w:pStyle w:val="Heading3"/>
      </w:pPr>
      <w:r>
        <w:t>4. Naechste Schritte</w:t>
      </w:r>
    </w:p>
    <w:p>
      <w:r>
        <w:t>Versicherungsrelevanz: Die FTO-Stellungnahme reduziert das Risiko fuer Patent-verletzungsklagen, die unter die Produkthaftpflichtpolice (AGCS) sowie die D&amp;O-Police fallen koennten. Die Stellungnahme ist Bestandteil der Schadenpraevention und wird im Rahmen des jaehrlichen Risk-Engineering-Reviews durch Marsh erwaehnt. Eine Kopie wurde an BMW Patentabteilung (Dr. Klaus Reuter, BMW Group Patents) uebermittelt und ist Bestandteil der BMW-Lieferantenakte.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