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Projekt-Statusbericht PRJ-2024-001 — ECU-1000 Concept Study (Maerz 2024)</w:t>
      </w:r>
    </w:p>
    <w:p/>
    <w:p>
      <w:pPr>
        <w:pStyle w:val="Heading3"/>
      </w:pPr>
      <w:r>
        <w:t>1. Einleitung und Hintergrund</w:t>
      </w:r>
    </w:p>
    <w:p>
      <w:r>
        <w:t>Projekt-Statusbericht fuer das Konzeptprojekt PRJ-2024-001 (ECU-1000 — naechste Powertrain-ECU-Generation, Nachfolgegeneration ECU-900). Berichtszeitraum: Maerz 2024. Projektleitung: Dipl.-Ing. Wolfgang Hertel (RSG Muenchen). Berichts-Adressat: Steering Committee unter Vorsitz CTO Stefan Hoffmann (bis 30.6.2024) bzw. ab Q3/2024 Dr. Petra Hollmann. Versicherungsrelevante Aspekte werden hier mit Blick auf die kuenftige Mitversicherung in der Konzern-Produkthaftpflichtpolice dargestellt.</w:t>
      </w:r>
    </w:p>
    <w:p>
      <w:pPr>
        <w:pStyle w:val="Heading3"/>
      </w:pPr>
      <w:r>
        <w:t>2. Sachverhalt</w:t>
      </w:r>
    </w:p>
    <w:p>
      <w:r>
        <w:t>Projektfortschritt Maerz 2024: Konzeptphase abgeschlossen zu 65%, Lasten-heft-Review mit Lead-OEM Volkswagen abgeschlossen, ASIL-D-Konzept (ISO 26262) in Erarbeitung. Patent-Screening durch Boehmert &amp; Boehmert laeuft (FTO-Stellungnahme erwartet bis Q3/2024). Cyber-Security-Konzept gemaess ISO/SAE 21434 in Vorbereitung als Voraussetzung fuer kuenftige Mitversicherung in der Konzern-Cyber-Police (Munich Re Beazley).</w:t>
      </w:r>
    </w:p>
    <w:p>
      <w:pPr>
        <w:pStyle w:val="Heading3"/>
      </w:pPr>
      <w:r>
        <w:t>3. Bewertung und Massnahmen</w:t>
      </w:r>
    </w:p>
    <w:p>
      <w:r>
        <w:t>Versicherungsrelevante Risiken in der Konzeptphase: (i) IP-Risiko Patentverletzung — wird durch FTO bewertet und ueber AGCS-Produkthaftpflichtpolice abgedeckt; (ii) Cyber-Risiken durch erweiterten OTA-Update-Mechanismus — Aufnahme in Cyber-Police-Renewal 2025 vorgesehen; (iii) Lieferketten-Risiken (Halbleiter-Sourcing TSMC und STMicroelectronics) — CBI-Klausel der BU-Police wird im Renewal entsprechend angepasst. Eskalation an Risk-Manager fortlaufend.</w:t>
      </w:r>
    </w:p>
    <w:p>
      <w:pPr>
        <w:pStyle w:val="Heading3"/>
      </w:pPr>
      <w:r>
        <w:t>4. Naechste Schritte</w:t>
      </w:r>
    </w:p>
    <w:p>
      <w:r>
        <w:t>Naechste Meilensteine Q2/2024: (i) Konzept-Review-Meeting mit Marsh Risk Consulting fuer Versicherbarkeitsbewertung; (ii) Abstimmung mit AGCS ueber Underwriting-Anforderungen fuer das neue Produkt; (iii) PPAP-Vorbereitung fuer OEM-Reviews. Budget Q1/2024 zu 92% planmaessig ausgeschoepft; Gesamtbudget Konzeptphase 4,2 Mio. EUR (Stand: 3,86 Mio. EUR committed). Eskalationsstufe: gelb (keine kritischen Abweichungen).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