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Projekt-Statusbericht PRJ-2024-003 — SAP S/4HANA Rollout (Maerz 2025)</w:t>
      </w:r>
    </w:p>
    <w:p/>
    <w:p>
      <w:pPr>
        <w:pStyle w:val="Heading3"/>
      </w:pPr>
      <w:r>
        <w:t>1. Einleitung und Hintergrund</w:t>
      </w:r>
    </w:p>
    <w:p>
      <w:r>
        <w:t>Statusbericht fuer das Konzern-IT-Projekt PRJ-2024-003 »SAP S/4HANA Rollout« (Migrationsprojekt vom Legacy SAP ECC 6.0 auf S/4HANA 2023). Berichtszeitraum: Maerz 2025. Projektleitung: Andreas Kremer (CIO RSG Muenchen) und Daniela Foerster (SAP Lead Konzern). Adressat: Steering Committee unter Vorsitz CFO Laura Bauer. Versicherungsbezug: Cyber-Police-Anforderungen, Risk-Engineering und Betriebsunterbrechungs-Risiko waehrend Cutover.</w:t>
      </w:r>
    </w:p>
    <w:p>
      <w:pPr>
        <w:pStyle w:val="Heading3"/>
      </w:pPr>
      <w:r>
        <w:t>2. Sachverhalt</w:t>
      </w:r>
    </w:p>
    <w:p>
      <w:r>
        <w:t>Projektfortschritt Maerz 2025: Phase Realize 2 abgeschlossen zu 78%, Datenmigrations-Probelaeufe mit Erfolg durchgefuehrt (3 Iterationen). Werke Heilbronn (REG), Muenchen (RSG) und Brno (RCZ) sind im Cutover-Plan fuer 1. Mai 2025 (Big-Bang-Ansatz fuer DE und CZ). Werke RPL (Katowice) und RHU (Gyoer) folgen im 2. Welle 1. Oktober 2025. Cybersicherheits-Audit durch externe KPMG-Pruefer (Lead: Dr. Maximilian Brand) im Februar 2025 abgeschlossen — keine kritischen Befunde.</w:t>
      </w:r>
    </w:p>
    <w:p>
      <w:pPr>
        <w:pStyle w:val="Heading3"/>
      </w:pPr>
      <w:r>
        <w:t>3. Bewertung und Massnahmen</w:t>
      </w:r>
    </w:p>
    <w:p>
      <w:r>
        <w:t>Versicherungsrelevante Massnahmen: (i) Pre-Notification an Munich Re Beazley ueber den Cutover gemaess Cyber-Police Ziffer 4.7 (Major-Change-Notification) — erfolgt am 14. Maerz 2025; (ii) Erhoehung des Cyber-Sublimits »Betriebsunterbrechung durch Cyber-Vorfall« waehrend der Cutover-Phase im April-Mai 2025 von 10 Mio. EUR auf 25 Mio. EUR temporaer (Sondervereinbarung mit Beazley, Praemienzuschlag 18.000 EUR); (iii) BU-Police HDI: Pre-Notification ueber den Big-Bang-Cutover und Implementierung erweiterter Notfall-Backup-Verfahren (Hot-Standby ECC fuer 30 Tage nach Go-live).</w:t>
      </w:r>
    </w:p>
    <w:p>
      <w:pPr>
        <w:pStyle w:val="Heading3"/>
      </w:pPr>
      <w:r>
        <w:t>4. Naechste Schritte</w:t>
      </w:r>
    </w:p>
    <w:p>
      <w:r>
        <w:t>Risiken und Eskalationen: (i) Schnittstelle zu Banking-System (Konzern-Treasury) noch nicht vollstaendig validiert — Test geplant 12. April 2025; (ii) Daten-qualitaetsprobleme in den Stammdaten der Materialnummern bei RPL — Bereinigung im Maerz/April abgeschlossen; (iii) Ausbildungsbedarf 240 Key-User — laeuft planmaessig. Eskalationsstufe: gelb. Budget 9,8 Mio. EUR (Stand 7,4 Mio. EUR committed). Risikomanager Markus Hellbach hat regelmaessige Status-Calls mit Marsh Risk Consulting zur Versicherbarkeit etabliert.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