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ECU-900 Quarterly Business Review Q2/2023 — Versicherungs-Aspekte</w:t>
      </w:r>
    </w:p>
    <w:p/>
    <w:p>
      <w:pPr>
        <w:pStyle w:val="Heading3"/>
      </w:pPr>
      <w:r>
        <w:t>1. Einleitung und Hintergrund</w:t>
      </w:r>
    </w:p>
    <w:p>
      <w:r>
        <w:t>Vierteljaehrlicher QBR-Bericht fuer das Produkt ECU-900 (Powertrain-ECU Gen3, Hauptkunde Volkswagen AG und Stellantis N.V.) mit Fokus auf versicherungs- und risikorelevante Themen des Quartals Q2/2023. Erstellt durch Produktmanagement ECU-900 in Abstimmung mit dem Konzern-Versicherungsbeauftragten und Marsh Risk Consulting.</w:t>
      </w:r>
    </w:p>
    <w:p>
      <w:pPr>
        <w:pStyle w:val="Heading3"/>
      </w:pPr>
      <w:r>
        <w:t>2. Sachverhalt</w:t>
      </w:r>
    </w:p>
    <w:p>
      <w:r>
        <w:t>Geschaeftsentwicklung Q2/2023: Stueckzahlausstoss ECU-900 192.000 Einheiten (+8% gg. Q1/2023); Umsatz 38,4 Mio. EUR; durchschnittliche FPY (First Pass Yield) 98,4%. Lieferquote OEM-A (VW): 99,1%; OEM-B (Stellantis): 98,7%. Reklamations-PPM Q2: 12 ppm (Vorquartal 18 ppm). Keine sicherheitskritischen Felderausfaelle. Geringe Anzahl Reklamationen (8 Stueck) wurden im 8D-Prozess bearbeitet.</w:t>
      </w:r>
    </w:p>
    <w:p>
      <w:pPr>
        <w:pStyle w:val="Heading3"/>
      </w:pPr>
      <w:r>
        <w:t>3. Bewertung und Massnahmen</w:t>
      </w:r>
    </w:p>
    <w:p>
      <w:r>
        <w:t>Versicherungsrelevante Vorfaelle: Ein produkthaftpflichtrelevanter Vorfall im Quartal (Schadensmeldung SM-2023-0008, Lager-Korrosion bei einer Charge), Schadenshoehe ca. 95 TEUR, in Bearbeitung mit AGCS. Massnahme: Korrosions-schutzprozess der Lagerlogistik bei Spediteur DSV ueberarbeitet. Risk-Engineering-Empfehlung von Marsh (Markus Hellbach) wurde umgesetzt. Eine Anpassung der Produkthaftpflicht-Praemie ist nicht erforderlich (innerhalb Loss-Ratio-Bandbreite).</w:t>
      </w:r>
    </w:p>
    <w:p>
      <w:pPr>
        <w:pStyle w:val="Heading3"/>
      </w:pPr>
      <w:r>
        <w:t>4. Naechste Schritte</w:t>
      </w:r>
    </w:p>
    <w:p>
      <w:r>
        <w:t>Risiken und Massnahmen H2/2023: (i) Markthochlauf VW MEB+ erwartet — Risikobewertung fuer CBI (Contingent Business Interruption) wird aktualisiert; (ii) neue Kundenanforderung Stellantis fuer Cyber-Resilience-Nachweis gemaess UNECE WP.29 — Anpassung der Cyber-Police im Renewal 2024 vorgesehen; (iii) FTO-Update geplant fuer Q3/2023 wegen neuer Patente in Konkurrenzanalyse.</w:t>
      </w:r>
    </w:p>
    <w:p>
      <w:r>
        <w:t>Folge-QBR: 25. Oktober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