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Directors' Dealings-Meldung — Klaus-Peter Zimmermann</w:t>
      </w:r>
    </w:p>
    <w:p/>
    <w:p>
      <w:pPr>
        <w:pStyle w:val="Heading3"/>
      </w:pPr>
      <w:r>
        <w:t>1. Einleitung und Hintergrund</w:t>
      </w:r>
    </w:p>
    <w:p>
      <w:r>
        <w:t>Stimmrechtsmitteilung und Directors-Dealings-Meldung gemaess Art. 19 MAR und § 26 WpHG betreffend die Brennhagen Elektronik AG, ISIN DE000RHGRP12. Meldende Person: Herr Klaus-Peter Zimmermann, Leiter Konzern-Versicherungen (Direct Report an CTO Stefan Hoffmann). Als »Person, die Fuehrungsaufgaben wahrnimmt« iSd Art. 3 Abs. 1 Nr. 25 MAR gilt Herr Zimmermann aufgrund seiner Befugnis zur Mitzeichnung von Versicherungsvertraegen ueber 1 Mio. EUR Praemienvolumen und seines unbeschraenkten Zugangs zu nicht-oeffentlichen Risikoinformationen.</w:t>
      </w:r>
    </w:p>
    <w:p>
      <w:pPr>
        <w:pStyle w:val="Heading3"/>
      </w:pPr>
      <w:r>
        <w:t>2. Sachverhalt</w:t>
      </w:r>
    </w:p>
    <w:p>
      <w:r>
        <w:t>Gegenstand der Meldung: Erwerb von 2.500 Stueck Stammaktien Brennhagen Elektronik AG (ISIN DE000RHGRP12, WKN RHGRP1) zum Durchschnittskurs von 28,40 EUR/Aktie, Gesamtvolumen 71.000 EUR, Geschaeftstag 14. September 2023, Ausfuehrungsort XETRA. Geschaeftsart: Kauf. Anlass: privater Vermoegensaufbau, keine Insiderkenntnis.</w:t>
      </w:r>
    </w:p>
    <w:p>
      <w:pPr>
        <w:pStyle w:val="Heading3"/>
      </w:pPr>
      <w:r>
        <w:t>3. Bewertung und Massnahmen</w:t>
      </w:r>
    </w:p>
    <w:p>
      <w:r>
        <w:t>Der Erwerb erfolgte ausserhalb der Closed Periods gemaess Konzern-Insider-Richtlinie. Eine Pre-Clearance durch den Compliance-Officer Dr. Sebastian Lohmann liegt vor (Vorgang COMP-2023-0421). Die Bestaende werden im Konzern-Insiderregister gefuehrt; die Meldung wurde fristgerecht binnen 3 Geschaeftstagen an die BaFin und die Brennhagen Elektronik AG uebermittelt und ueber den IR-Verteiler (Investor Relations Lead: Dr. Annette Reuter) publiziert.</w:t>
      </w:r>
    </w:p>
    <w:p>
      <w:pPr>
        <w:pStyle w:val="Heading3"/>
      </w:pPr>
      <w:r>
        <w:t>4. Naechste Schritte</w:t>
      </w:r>
    </w:p>
    <w:p>
      <w:r>
        <w:t>Weitere Schritte: Veroeffentlichung der Stimmrechtsmitteilung ueber den DGAP-Newswire, Eintragung im konzerninternen Personal-Geschaefte-Register, Update der Excel-Liste MAR-COMP-2023. Eine Nachmeldung erfolgt nicht, da keine zustimmungspflichtige Aenderung der Position erfolgt. Die naechste Closed Period beginnt am 1. Februar 2024 (vor Veroeffentlichung des Jahresabschlusses 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