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Versicherungspolice Erweiterte Produkthaftpflicht (Industriehaftpflicht) — 2023</w:t>
      </w:r>
    </w:p>
    <w:p>
      <w:pPr>
        <w:jc w:val="center"/>
      </w:pPr>
      <w:r>
        <w:t>Konzern-Master-Police Brennhagen Elektronik AG — Vermittler Marsh GmbH</w:t>
      </w:r>
    </w:p>
    <w:p/>
    <w:p>
      <w:pPr>
        <w:pStyle w:val="Heading3"/>
      </w:pPr>
      <w:r>
        <w:t>1. Vertragsparteien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Partei</w:t>
            </w:r>
          </w:p>
        </w:tc>
        <w:tc>
          <w:tcPr>
            <w:tcW w:type="dxa" w:w="2880"/>
          </w:tcPr>
          <w:p>
            <w:r>
              <w:t>Anschrift</w:t>
            </w:r>
          </w:p>
        </w:tc>
      </w:tr>
      <w:tr>
        <w:tc>
          <w:tcPr>
            <w:tcW w:type="dxa" w:w="2880"/>
          </w:tcPr>
          <w:p>
            <w:r>
              <w:t>Versicherungsnehmer</w:t>
            </w:r>
          </w:p>
        </w:tc>
        <w:tc>
          <w:tcPr>
            <w:tcW w:type="dxa" w:w="2880"/>
          </w:tcPr>
          <w:p>
            <w:r>
              <w:t>Brennhagen Elektronik AG</w:t>
            </w:r>
          </w:p>
        </w:tc>
        <w:tc>
          <w:tcPr>
            <w:tcW w:type="dxa" w:w="2880"/>
          </w:tcPr>
          <w:p>
            <w:r>
              <w:t>Vaihinger Straße 120, 70567 Stuttgart</w:t>
            </w:r>
          </w:p>
        </w:tc>
      </w:tr>
      <w:tr>
        <w:tc>
          <w:tcPr>
            <w:tcW w:type="dxa" w:w="2880"/>
          </w:tcPr>
          <w:p>
            <w:r>
              <w:t>Mitversicherte Tochter</w:t>
            </w:r>
          </w:p>
        </w:tc>
        <w:tc>
          <w:tcPr>
            <w:tcW w:type="dxa" w:w="2880"/>
          </w:tcPr>
          <w:p>
            <w:r>
              <w:t>Brennhagen Holding GmbH und alle 100%-Toechter (REG, RSG, RPL, RCZ, RHU, RCN)</w:t>
            </w:r>
          </w:p>
        </w:tc>
        <w:tc>
          <w:tcPr>
            <w:tcW w:type="dxa" w:w="2880"/>
          </w:tcPr>
          <w:p>
            <w:r>
              <w:t>konsolidierter Versicherungsschutz</w:t>
            </w:r>
          </w:p>
        </w:tc>
      </w:tr>
      <w:tr>
        <w:tc>
          <w:tcPr>
            <w:tcW w:type="dxa" w:w="2880"/>
          </w:tcPr>
          <w:p>
            <w:r>
              <w:t>Versicherer (Leader)</w:t>
            </w:r>
          </w:p>
        </w:tc>
        <w:tc>
          <w:tcPr>
            <w:tcW w:type="dxa" w:w="2880"/>
          </w:tcPr>
          <w:p>
            <w:r>
              <w:t>Allianz Global Corporate &amp; Specialty SE (AGCS), Muenchen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Versicherungsmakler</w:t>
            </w:r>
          </w:p>
        </w:tc>
        <w:tc>
          <w:tcPr>
            <w:tcW w:type="dxa" w:w="2880"/>
          </w:tcPr>
          <w:p>
            <w:r>
              <w:t>Marsh GmbH, Duesseldorf</w:t>
            </w:r>
          </w:p>
        </w:tc>
        <w:tc>
          <w:tcPr>
            <w:tcW w:type="dxa" w:w="2880"/>
          </w:tcPr>
          <w:p>
            <w:r>
              <w:t>Lead: Frau Stefanie Kornmann, Senior Vice President Industrial</w:t>
            </w:r>
          </w:p>
        </w:tc>
      </w:tr>
      <w:tr>
        <w:tc>
          <w:tcPr>
            <w:tcW w:type="dxa" w:w="2880"/>
          </w:tcPr>
          <w:p>
            <w:r>
              <w:t>Versicherungsbeauftragter Konzern</w:t>
            </w:r>
          </w:p>
        </w:tc>
        <w:tc>
          <w:tcPr>
            <w:tcW w:type="dxa" w:w="2880"/>
          </w:tcPr>
          <w:p>
            <w:r>
              <w:t>Stefan Hoffmann, CTO (bis 30.6.2024)</w:t>
            </w:r>
          </w:p>
        </w:tc>
        <w:tc>
          <w:tcPr>
            <w:tcW w:type="dxa" w:w="2880"/>
          </w:tcPr>
          <w:p>
            <w:r>
              <w:t>danach Dr. Petra Hollmann</w:t>
            </w:r>
          </w:p>
        </w:tc>
      </w:tr>
      <w:tr>
        <w:tc>
          <w:tcPr>
            <w:tcW w:type="dxa" w:w="2880"/>
          </w:tcPr>
          <w:p>
            <w:r>
              <w:t>Operational Lead Risk Engineering</w:t>
            </w:r>
          </w:p>
        </w:tc>
        <w:tc>
          <w:tcPr>
            <w:tcW w:type="dxa" w:w="2880"/>
          </w:tcPr>
          <w:p>
            <w:r>
              <w:t>Markus Hellbach</w:t>
            </w:r>
          </w:p>
        </w:tc>
        <w:tc>
          <w:tcPr>
            <w:tcW w:type="dxa" w:w="2880"/>
          </w:tcPr>
          <w:p>
            <w:r>
              <w:t>Risk Engineer Konzern</w:t>
            </w:r>
          </w:p>
        </w:tc>
      </w:tr>
    </w:tbl>
    <w:p>
      <w:pPr>
        <w:pStyle w:val="Heading3"/>
      </w:pPr>
      <w:r>
        <w:t>2. Vertragsgegenstand und Versicherungsumfang</w:t>
      </w:r>
    </w:p>
    <w:p>
      <w:r>
        <w:t>Die vorliegende Police regelt den Versicherungsschutz fuer die Sparte »Erweiterte Produkthaftpflicht (Industriehaftpflicht)« als Konzern-Master-Police gemaess dem Konzernversicherungsprogramm der Brennhagen Elektronik AG. Der Versicherungsschutz umfasst saemtliche Konzerngesellschaften, deren Geschaeftsbetrieb sowie die hiermit verbundenen Risiken in dem unter Ziffer 3 beschriebenen geografischen Geltungsbereich.</w:t>
      </w:r>
    </w:p>
    <w:p>
      <w:r>
        <w:t>Die Police ersetzt vollumfaenglich die vorhergehende Vorjahres-Police und wurde im Rahmen des jaehrlichen Renewal-Prozesses durch Marsh GmbH neu verhandelt. Der hier dokumentierte Wording-Stand entspricht dem mit dem Konzernvorstand am 12.12.2022 abgestimmten Endstand und wurde nach Eingang der Praemienzahlung durch die Treasury (Markus Pflanzer) wirksam zum 1.1.2023.</w:t>
      </w:r>
    </w:p>
    <w:p>
      <w:pPr>
        <w:pStyle w:val="Heading3"/>
      </w:pPr>
      <w:r>
        <w:t>3. Eckdaten der Versicherung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Sparte</w:t>
            </w:r>
          </w:p>
        </w:tc>
        <w:tc>
          <w:tcPr>
            <w:tcW w:type="dxa" w:w="4320"/>
          </w:tcPr>
          <w:p>
            <w:r>
              <w:t>Erweiterte Produkthaftpflicht (Industriehaftpflicht)</w:t>
            </w:r>
          </w:p>
        </w:tc>
      </w:tr>
      <w:tr>
        <w:tc>
          <w:tcPr>
            <w:tcW w:type="dxa" w:w="4320"/>
          </w:tcPr>
          <w:p>
            <w:r>
              <w:t>Versicherer (Risk Carrier)</w:t>
            </w:r>
          </w:p>
        </w:tc>
        <w:tc>
          <w:tcPr>
            <w:tcW w:type="dxa" w:w="4320"/>
          </w:tcPr>
          <w:p>
            <w:r>
              <w:t>Allianz Global Corporate &amp; Specialty SE (AGCS), Muenchen</w:t>
            </w:r>
          </w:p>
        </w:tc>
      </w:tr>
      <w:tr>
        <w:tc>
          <w:tcPr>
            <w:tcW w:type="dxa" w:w="4320"/>
          </w:tcPr>
          <w:p>
            <w:r>
              <w:t>Polizzen-Nr.</w:t>
            </w:r>
          </w:p>
        </w:tc>
        <w:tc>
          <w:tcPr>
            <w:tcW w:type="dxa" w:w="4320"/>
          </w:tcPr>
          <w:p>
            <w:r>
              <w:t>AGCS-PH-REA-2023-0002</w:t>
            </w:r>
          </w:p>
        </w:tc>
      </w:tr>
      <w:tr>
        <w:tc>
          <w:tcPr>
            <w:tcW w:type="dxa" w:w="4320"/>
          </w:tcPr>
          <w:p>
            <w:r>
              <w:t>Versicherungssumme (VS)</w:t>
            </w:r>
          </w:p>
        </w:tc>
        <w:tc>
          <w:tcPr>
            <w:tcW w:type="dxa" w:w="4320"/>
          </w:tcPr>
          <w:p>
            <w:r>
              <w:t>100.000.000 EUR pauschal weltweit</w:t>
            </w:r>
          </w:p>
        </w:tc>
      </w:tr>
      <w:tr>
        <w:tc>
          <w:tcPr>
            <w:tcW w:type="dxa" w:w="4320"/>
          </w:tcPr>
          <w:p>
            <w:r>
              <w:t>Selbstbehalt (SB) je Schadenfall</w:t>
            </w:r>
          </w:p>
        </w:tc>
        <w:tc>
          <w:tcPr>
            <w:tcW w:type="dxa" w:w="4320"/>
          </w:tcPr>
          <w:p>
            <w:r>
              <w:t>50.000 EUR je Schadenereignis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weltweit (inkl. USA / Kanada via DIC-Layer)</w:t>
            </w:r>
          </w:p>
        </w:tc>
      </w:tr>
      <w:tr>
        <w:tc>
          <w:tcPr>
            <w:tcW w:type="dxa" w:w="4320"/>
          </w:tcPr>
          <w:p>
            <w:r>
              <w:t>Jahrespraemie netto</w:t>
            </w:r>
          </w:p>
        </w:tc>
        <w:tc>
          <w:tcPr>
            <w:tcW w:type="dxa" w:w="4320"/>
          </w:tcPr>
          <w:p>
            <w:r>
              <w:t>1.180.000 EUR p.a.</w:t>
            </w:r>
          </w:p>
        </w:tc>
      </w:tr>
      <w:tr>
        <w:tc>
          <w:tcPr>
            <w:tcW w:type="dxa" w:w="4320"/>
          </w:tcPr>
          <w:p>
            <w:r>
              <w:t>Versicherungsperiode</w:t>
            </w:r>
          </w:p>
        </w:tc>
        <w:tc>
          <w:tcPr>
            <w:tcW w:type="dxa" w:w="4320"/>
          </w:tcPr>
          <w:p>
            <w:r>
              <w:t>1.1.2023 – 31.12.2023</w:t>
            </w:r>
          </w:p>
        </w:tc>
      </w:tr>
      <w:tr>
        <w:tc>
          <w:tcPr>
            <w:tcW w:type="dxa" w:w="4320"/>
          </w:tcPr>
          <w:p>
            <w:r>
              <w:t>Praemienzahlweise</w:t>
            </w:r>
          </w:p>
        </w:tc>
        <w:tc>
          <w:tcPr>
            <w:tcW w:type="dxa" w:w="4320"/>
          </w:tcPr>
          <w:p>
            <w:r>
              <w:t>jaehrlich vorab, faellig 15.1.</w:t>
            </w:r>
          </w:p>
        </w:tc>
      </w:tr>
      <w:tr>
        <w:tc>
          <w:tcPr>
            <w:tcW w:type="dxa" w:w="4320"/>
          </w:tcPr>
          <w:p>
            <w:r>
              <w:t>Rueckwaertsdeckung</w:t>
            </w:r>
          </w:p>
        </w:tc>
        <w:tc>
          <w:tcPr>
            <w:tcW w:type="dxa" w:w="4320"/>
          </w:tcPr>
          <w:p>
            <w:r>
              <w:t>Nein, Claims-made bzw. Schadenereignisprinzip je nach Sparte</w:t>
            </w:r>
          </w:p>
        </w:tc>
      </w:tr>
      <w:tr>
        <w:tc>
          <w:tcPr>
            <w:tcW w:type="dxa" w:w="4320"/>
          </w:tcPr>
          <w:p>
            <w:r>
              <w:t>Subsidiaritaet</w:t>
            </w:r>
          </w:p>
        </w:tc>
        <w:tc>
          <w:tcPr>
            <w:tcW w:type="dxa" w:w="4320"/>
          </w:tcPr>
          <w:p>
            <w:r>
              <w:t>Nachrangig zu lokalen Pflichtversicherungen der Auslandstoechter</w:t>
            </w:r>
          </w:p>
        </w:tc>
      </w:tr>
    </w:tbl>
    <w:p>
      <w:pPr>
        <w:pStyle w:val="Heading3"/>
      </w:pPr>
      <w:r>
        <w:t>4. Mitversicherte Risiken und Klauseln</w:t>
      </w:r>
    </w:p>
    <w:p>
      <w:pPr>
        <w:pStyle w:val="ListBullet"/>
      </w:pPr>
      <w:r>
        <w:t>Vorsorgeversicherung fuer neu hinzukommende Konzerngesellschaften (Meldepflicht binnen 30 Tagen)</w:t>
      </w:r>
    </w:p>
    <w:p>
      <w:pPr>
        <w:pStyle w:val="ListBullet"/>
      </w:pPr>
      <w:r>
        <w:t>Mitversicherung leitender Angestellter / Organe in deren Eigenschaft als Versicherungsnehmervertreter</w:t>
      </w:r>
    </w:p>
    <w:p>
      <w:pPr>
        <w:pStyle w:val="ListBullet"/>
      </w:pPr>
      <w:r>
        <w:t>Welt-Deckung mit Ausnahme der OFAC-Sanktionslaender (Iran, Nordkorea, Syrien, Kuba, Krim/Russland teilweise)</w:t>
      </w:r>
    </w:p>
    <w:p>
      <w:pPr>
        <w:pStyle w:val="ListBullet"/>
      </w:pPr>
      <w:r>
        <w:t>Innovation Clause: automatische Mitversicherung neuer Produkte/Werke fuer 90 Tage ohne Anzeige</w:t>
      </w:r>
    </w:p>
    <w:p>
      <w:pPr>
        <w:pStyle w:val="ListBullet"/>
      </w:pPr>
      <w:r>
        <w:t>Difference-in-Conditions (DIC) und Difference-in-Limits (DIL) gegenueber lokalen Pflichtdeckungen</w:t>
      </w:r>
    </w:p>
    <w:p>
      <w:pPr>
        <w:pStyle w:val="ListBullet"/>
      </w:pPr>
      <w:r>
        <w:t>Cyber-Sublimit: 5 Mio. EUR pro Schadenereignis, Aggregate 10 Mio. EUR (sofern nicht Cyber-Hauptpolice)</w:t>
      </w:r>
    </w:p>
    <w:p>
      <w:pPr>
        <w:pStyle w:val="ListBullet"/>
      </w:pPr>
      <w:r>
        <w:t>Sanktionsklausel gemaess LMA 3100 (Marktstandard)</w:t>
      </w:r>
    </w:p>
    <w:p>
      <w:pPr>
        <w:pStyle w:val="ListBullet"/>
      </w:pPr>
      <w:r>
        <w:t>Kriegs- und Terrorausschluss mit Rueckausnahme »Terror-Sublimit« iHv 25 Mio. EUR</w:t>
      </w:r>
    </w:p>
    <w:p>
      <w:pPr>
        <w:pStyle w:val="Heading3"/>
      </w:pPr>
      <w:r>
        <w:t>5. Selbstbehalts- und Schadenregulierung</w:t>
      </w:r>
    </w:p>
    <w:p>
      <w:r>
        <w:t>Selbstbehalt je Schadenereignis: 50.000 EUR je Schadenereignis. Schadenregulierung ueber den Konzern-Versicherungsbeauftragten in Abstimmung mit Marsh Claims Solutions, Frankfurt. Schadenmeldungen sind binnen 5 Werktagen nach Bekanntwerden des schadenstiftenden Ereignisses an den Konzern-Risk-Manager und parallel an Marsh zu erstatten. Die Erstellung der Schadensmeldung erfolgt im standardisierten Marsh-Schadenmeldeformular; bei Grossschaeden ab 500 TEUR ist zusaetzlich der Vorstand zu informieren (Eskalationspfad gemaess Konzern-Risikomanagement-Richtlinie KRR-2022-08).</w:t>
      </w:r>
    </w:p>
    <w:p>
      <w:pPr>
        <w:pStyle w:val="Heading3"/>
      </w:pPr>
      <w:r>
        <w:t>6. Praemie, Anpassungsmechanismus und Bonus-Malus</w:t>
      </w:r>
    </w:p>
    <w:p>
      <w:r>
        <w:t>Die Jahrespraemie betraegt 1.180.000 EUR p.a. (netto, zzgl. 19% Versicherungsteuer). Eine Praemienanpassung erfolgt jaehrlich auf Basis (i) der konsolidierten Konzern-Umsatzerlose des Vorjahres, (ii) der Schadenquote (Loss Ratio) der letzten 5 Versicherungsperioden und (iii) der Risk-Engineering-Bewertung durch Marsh Risk Consulting.</w:t>
      </w:r>
    </w:p>
    <w:p>
      <w:r>
        <w:t>Bei einer Loss Ratio unter 30% wird ein Bonus von 5% der Folgejahrespraemie gewaehrt (Profit Sharing). Ueberschreitet die Loss Ratio 75%, ist der Versicherer zur ausserordentlichen Praemienanpassung berechtigt.</w:t>
      </w:r>
    </w:p>
    <w:p>
      <w:pPr>
        <w:pStyle w:val="Heading3"/>
      </w:pPr>
      <w:r>
        <w:t>7. Besondere Bedingungen</w:t>
      </w:r>
    </w:p>
    <w:p>
      <w:r>
        <w:t>Mitversichert sind insbesondere: Rueckrufkosten (Sublimit 20 Mio. EUR), Aus- und Einbaukosten, Bearbeitungsschaeden, Produktschutz-/Recall-Beratungskosten der Crisis Communications Hotline, sowie erweiterte Mangelfolgeschaeden gemaess Marsh-Wording 2023. Mitversicherung saemtlicher OEM-Lieferungen einschliesslich der Produkte ICP-3, BMS-12, ADAS-V4D, ECU-900 und LightCtrl-7. Lieferantenregress vorbehalten.</w:t>
      </w:r>
    </w:p>
    <w:p>
      <w:pPr>
        <w:pStyle w:val="Heading3"/>
      </w:pPr>
      <w:r>
        <w:t>8. Unterzeichnung</w:t>
      </w:r>
    </w:p>
    <w:p>
      <w:r>
        <w:t>Ort, Datum: Stuttgart, den 15. Dezember 2022</w:t>
      </w:r>
    </w:p>
    <w:p>
      <w:r>
        <w:t>_________________________            _________________________</w:t>
        <w:br/>
        <w:t>Stefanie Kornmann                          Stefan Hoffmann</w:t>
        <w:br/>
        <w:t>Senior Vice President                          CTO / Versicherungsbeauftragter</w:t>
        <w:br/>
        <w:t>Marsh GmbH (Vermittler)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