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REG → RSG — Juni 2023</w:t>
      </w:r>
    </w:p>
    <w:p/>
    <w:p>
      <w:pPr>
        <w:pStyle w:val="Heading3"/>
      </w:pPr>
      <w:r>
        <w:t>1. Einleitung und Hintergrund</w:t>
      </w:r>
    </w:p>
    <w:p>
      <w:r>
        <w:t>Konzerninterne Verrechnung der Versicherungsumlage Juni 2023 fuer die Sparten Sach, Maschinenbruch und Betriebsunterbrechung. Rechnungssteller: Brennhagen Elektronik GmbH (REG), Heilbronn, als Anteilstraegerin der Master-Police; Rechnungsempfaenger: Brennhagen Software GmbH (RSG), Muenchen. Verteilungsschluessel gemaess Konzern-Versicherungsumlage-Richtlinie KRR-2022-09 (Headcount, Anlagenwert, Umsatzanteil).</w:t>
      </w:r>
    </w:p>
    <w:p>
      <w:pPr>
        <w:pStyle w:val="Heading3"/>
      </w:pPr>
      <w:r>
        <w:t>2. Sachverhalt</w:t>
      </w:r>
    </w:p>
    <w:p>
      <w:r>
        <w:t>Verrechnungspositionen Juni 2023: (i) Sach-Versicherung HDI, RSG-Anteil 8,2% gemaess Schluessel = 5.330 EUR; (ii) Maschinenbruch HDI, RSG-Anteil 4,1% = 273 EUR; (iii) Cyber-Versicherung Beazley, RSG-Anteil 18,5% (erhoehter Anteil wegen Software-Risikoprofil) = 6.475 EUR; (iv) D&amp;O-Anteil pauschal 3.200 EUR; (v) sonstige Sparten (Vertrauensschaden, Rechtsschutz) anteilig 1.420 EUR. Summe netto: 16.698 EUR, zzgl. 19% USt 3.172,62 EUR, brutto 19.870,62 EUR.</w:t>
      </w:r>
    </w:p>
    <w:p>
      <w:pPr>
        <w:pStyle w:val="Heading3"/>
      </w:pPr>
      <w:r>
        <w:t>3. Bewertung und Massnahmen</w:t>
      </w:r>
    </w:p>
    <w:p>
      <w:r>
        <w:t>Rechtsgrundlage: Konzern-Service-Vertrag zwischen REG und RSG vom 1.1.2022, § 4 Verrechnungsleistungen, Pos. 3 »Versicherungsumlage«. Die Verteilung erfolgt auf Cost-Plus-Basis mit 0% Aufschlag (durchlaufender Posten). Verrechnungspreis-Dokumentation gemaess OECD-TPG und § 90 Abs. 3 AO im Konzern-TP-Local-File dokumentiert.</w:t>
      </w:r>
    </w:p>
    <w:p>
      <w:r>
        <w:t>Zahlungsziel: 30 Tage netto. Faelligkeit: 30. Juli 2023. Banknummer REG: Deutsche Bank Heilbronn. Buchung auf Sachkonto 4500 (Versicherungen).</w:t>
      </w:r>
    </w:p>
    <w:p>
      <w:pPr>
        <w:pStyle w:val="Heading3"/>
      </w:pPr>
      <w:r>
        <w:t>4. Naechste Schritte</w:t>
      </w:r>
    </w:p>
    <w:p>
      <w:r>
        <w:t>Die Buchung erfolgt im Konzern-SAP-System (Konzern-Mandant 100) als IC-Transaktion mit Trading-Partner-Schluessel; Konsolidierungsausgleich erfolgt im Quartalsabschluss automatisch. Buchungsverantwortliche: bei REG Buchhalterin Frau Walter, bei RSG Frau Glaser. Pruefung der Umlage durch den Konzern-Controller Florian Maier im Rahmen des Quartals-Reviews.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