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 Compliance Report RPL Katowice 2021 — Versicherungs-Compliance</w:t>
      </w:r>
    </w:p>
    <w:p/>
    <w:p>
      <w:pPr>
        <w:pStyle w:val="Heading3"/>
      </w:pPr>
      <w:r>
        <w:t>1. Einleitung und Hintergrund</w:t>
      </w:r>
    </w:p>
    <w:p>
      <w:r>
        <w:t>Jaehrlicher Legal-Compliance-Bericht fuer die Brennhagen Polska Sp. z o.o. (RPL), Geschaeftsjahr 2021, mit Schwerpunkt auf den versicherungsrechtlichen Pflichten in Polen und der Integration in das Konzern-Versicherungsprogramm der Marsh GmbH. Erstellt durch die lokale Rechtsabteilung RPL (Mecenas Anna Kowalewska, Kowalewska &amp; Partners) in Abstimmung mit Hengeler Mueller (Frankfurt) und der Konzern-Versicherungsabteilung.</w:t>
      </w:r>
    </w:p>
    <w:p>
      <w:pPr>
        <w:pStyle w:val="Heading3"/>
      </w:pPr>
      <w:r>
        <w:t>2. Sachverhalt</w:t>
      </w:r>
    </w:p>
    <w:p>
      <w:r>
        <w:t>Versicherungspflichten in Polen 2021: (i) Pflichthaftpflichtversicherung Werksbetrieb (OC ogolna) erfuellt durch lokale Police bei PZU SA mit DIC zum Marsh-Master; (ii) Pflicht-Sozialversicherung ZUS erfuellt; (iii) Berufsgenossenschaft (Wypadkowe) erfuellt mit erhoehter Beitragsklasse aufgrund Galvanik-Tatigkeit; (iv) Kfz-Pflichtversicherung OC + AC fuer 12 lokale Fahrzeuge bei Allianz Polen, integriert in Marsh-Master ueber Network-Police.</w:t>
      </w:r>
    </w:p>
    <w:p>
      <w:pPr>
        <w:pStyle w:val="Heading3"/>
      </w:pPr>
      <w:r>
        <w:t>3. Bewertung und Massnahmen</w:t>
      </w:r>
    </w:p>
    <w:p>
      <w:r>
        <w:t>Vorfaelle 2021: Ein Pflichtverletzungsvorwurf der Wojewodzki Inspektorat Ochrony Srodowiska (WIOS) wegen Grenzwertueberschreitung Galvanik-Abwasser (siehe Schadensmeldung SM-2023-0019 — Folge-Vorfall) wurde abschliessend in 2021 behoben (Bussgeld 12.000 PLN, Filteranlage gewartet). Lokale Compliance-Stelle (Marek Wojciechowski, Werkleiter) hat alle Auflagen erfuellt; Versicherungsschutz durch Konzern-Umwelthaftpflichtpolice (AGCS) bestaetigt.</w:t>
      </w:r>
    </w:p>
    <w:p>
      <w:pPr>
        <w:pStyle w:val="Heading3"/>
      </w:pPr>
      <w:r>
        <w:t>4. Naechste Schritte</w:t>
      </w:r>
    </w:p>
    <w:p>
      <w:r>
        <w:t>Ausblick 2022: (i) lokale Pflichtversicherungs-Renewals zum 1.1.2022 mit Marsh-Koordination; (ii) Anpassung der RPL-spezifischen DIC-Klauseln aufgrund neuer polnischer KSC-Cyber-Sicherheitsgesetzgebung; (iii) Integration der neuen SMD-Linie 4 in die Maschinenbruchpolice (Inventarmeldung an HDI bis 30.4.2022); (iv) Update des lokalen Datenschutzkonzepts (RODO) als Teil der Cyber-Police-Underwriting-Voraussetzung. Verantwortlich: Anna Kowalska (HR), Marek Wojciechowski (Werkleitung).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