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Schadensmeldung SM-2020-0012 — Transport</w:t>
      </w:r>
    </w:p>
    <w:p>
      <w:pPr>
        <w:jc w:val="center"/>
      </w:pPr>
      <w:r>
        <w:t>Schadenmeldung an Versicherer ueber Marsh GmbH</w:t>
      </w:r>
    </w:p>
    <w:p/>
    <w:p>
      <w:pPr>
        <w:pStyle w:val="Heading3"/>
      </w:pPr>
      <w:r>
        <w:t>1. Meldungs-Stammdaten</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Wert</w:t>
            </w:r>
          </w:p>
        </w:tc>
      </w:tr>
      <w:tr>
        <w:tc>
          <w:tcPr>
            <w:tcW w:type="dxa" w:w="4320"/>
          </w:tcPr>
          <w:p>
            <w:r>
              <w:t>Schadennummer (intern)</w:t>
            </w:r>
          </w:p>
        </w:tc>
        <w:tc>
          <w:tcPr>
            <w:tcW w:type="dxa" w:w="4320"/>
          </w:tcPr>
          <w:p>
            <w:r>
              <w:t>SM-2020-0012</w:t>
            </w:r>
          </w:p>
        </w:tc>
      </w:tr>
      <w:tr>
        <w:tc>
          <w:tcPr>
            <w:tcW w:type="dxa" w:w="4320"/>
          </w:tcPr>
          <w:p>
            <w:r>
              <w:t>Schadennummer (Versicherer)</w:t>
            </w:r>
          </w:p>
        </w:tc>
        <w:tc>
          <w:tcPr>
            <w:tcW w:type="dxa" w:w="4320"/>
          </w:tcPr>
          <w:p>
            <w:r>
              <w:t>VS-SM-2020-0012-AGC</w:t>
            </w:r>
          </w:p>
        </w:tc>
      </w:tr>
      <w:tr>
        <w:tc>
          <w:tcPr>
            <w:tcW w:type="dxa" w:w="4320"/>
          </w:tcPr>
          <w:p>
            <w:r>
              <w:t>Sparte</w:t>
            </w:r>
          </w:p>
        </w:tc>
        <w:tc>
          <w:tcPr>
            <w:tcW w:type="dxa" w:w="4320"/>
          </w:tcPr>
          <w:p>
            <w:r>
              <w:t>Transport</w:t>
            </w:r>
          </w:p>
        </w:tc>
      </w:tr>
      <w:tr>
        <w:tc>
          <w:tcPr>
            <w:tcW w:type="dxa" w:w="4320"/>
          </w:tcPr>
          <w:p>
            <w:r>
              <w:t>Versicherer (Leader)</w:t>
            </w:r>
          </w:p>
        </w:tc>
        <w:tc>
          <w:tcPr>
            <w:tcW w:type="dxa" w:w="4320"/>
          </w:tcPr>
          <w:p>
            <w:r>
              <w:t>AGCS</w:t>
            </w:r>
          </w:p>
        </w:tc>
      </w:tr>
      <w:tr>
        <w:tc>
          <w:tcPr>
            <w:tcW w:type="dxa" w:w="4320"/>
          </w:tcPr>
          <w:p>
            <w:r>
              <w:t>Vermittler</w:t>
            </w:r>
          </w:p>
        </w:tc>
        <w:tc>
          <w:tcPr>
            <w:tcW w:type="dxa" w:w="4320"/>
          </w:tcPr>
          <w:p>
            <w:r>
              <w:t>Marsh GmbH, Duesseldorf</w:t>
            </w:r>
          </w:p>
        </w:tc>
      </w:tr>
      <w:tr>
        <w:tc>
          <w:tcPr>
            <w:tcW w:type="dxa" w:w="4320"/>
          </w:tcPr>
          <w:p>
            <w:r>
              <w:t>Schadendatum</w:t>
            </w:r>
          </w:p>
        </w:tc>
        <w:tc>
          <w:tcPr>
            <w:tcW w:type="dxa" w:w="4320"/>
          </w:tcPr>
          <w:p>
            <w:r>
              <w:t>08.06.2020</w:t>
            </w:r>
          </w:p>
        </w:tc>
      </w:tr>
      <w:tr>
        <w:tc>
          <w:tcPr>
            <w:tcW w:type="dxa" w:w="4320"/>
          </w:tcPr>
          <w:p>
            <w:r>
              <w:t>Meldedatum bei Marsh</w:t>
            </w:r>
          </w:p>
        </w:tc>
        <w:tc>
          <w:tcPr>
            <w:tcW w:type="dxa" w:w="4320"/>
          </w:tcPr>
          <w:p>
            <w:r>
              <w:t>08.06.2020</w:t>
            </w:r>
          </w:p>
        </w:tc>
      </w:tr>
      <w:tr>
        <w:tc>
          <w:tcPr>
            <w:tcW w:type="dxa" w:w="4320"/>
          </w:tcPr>
          <w:p>
            <w:r>
              <w:t>Versicherungsnehmer</w:t>
            </w:r>
          </w:p>
        </w:tc>
        <w:tc>
          <w:tcPr>
            <w:tcW w:type="dxa" w:w="4320"/>
          </w:tcPr>
          <w:p>
            <w:r>
              <w:t>Brennhagen Elektronik AG</w:t>
            </w:r>
          </w:p>
        </w:tc>
      </w:tr>
      <w:tr>
        <w:tc>
          <w:tcPr>
            <w:tcW w:type="dxa" w:w="4320"/>
          </w:tcPr>
          <w:p>
            <w:r>
              <w:t>Betroffene Gesellschaft / Werk</w:t>
            </w:r>
          </w:p>
        </w:tc>
        <w:tc>
          <w:tcPr>
            <w:tcW w:type="dxa" w:w="4320"/>
          </w:tcPr>
          <w:p>
            <w:r>
              <w:t>Lieferung REG → BMW Werk Leipzig</w:t>
            </w:r>
          </w:p>
        </w:tc>
      </w:tr>
      <w:tr>
        <w:tc>
          <w:tcPr>
            <w:tcW w:type="dxa" w:w="4320"/>
          </w:tcPr>
          <w:p>
            <w:r>
              <w:t>Schadenort</w:t>
            </w:r>
          </w:p>
        </w:tc>
        <w:tc>
          <w:tcPr>
            <w:tcW w:type="dxa" w:w="4320"/>
          </w:tcPr>
          <w:p>
            <w:r>
              <w:t>BAB A4 Hoehe Erfurt-West</w:t>
            </w:r>
          </w:p>
        </w:tc>
      </w:tr>
      <w:tr>
        <w:tc>
          <w:tcPr>
            <w:tcW w:type="dxa" w:w="4320"/>
          </w:tcPr>
          <w:p>
            <w:r>
              <w:t>Vorlaeufiger Status</w:t>
            </w:r>
          </w:p>
        </w:tc>
        <w:tc>
          <w:tcPr>
            <w:tcW w:type="dxa" w:w="4320"/>
          </w:tcPr>
          <w:p>
            <w:r>
              <w:t>Reguliert 10/2020</w:t>
            </w:r>
          </w:p>
        </w:tc>
      </w:tr>
    </w:tbl>
    <w:p>
      <w:pPr>
        <w:pStyle w:val="Heading3"/>
      </w:pPr>
      <w:r>
        <w:t>2. Sachverhalt und Schadenshergang</w:t>
      </w:r>
    </w:p>
    <w:p>
      <w:r>
        <w:t>Am 08.06.2020 ereignete sich im Lieferung REG → BMW Werk Leipzig (BAB A4 Hoehe Erfurt-West) folgender Schaden: 12 Paletten ECU-900 unbrauchbar, Bauteilebezeichnung beschaedigt</w:t>
      </w:r>
    </w:p>
    <w:p>
      <w:r>
        <w:t>Der Vorfall wurde durch den lokalen EHS-Verantwortlichen unverzueglich an den Konzern-Risk-Manager (Stefan Hoffmann bzw. ab 1.7.2024 Dr. Petra Hollmann) sowie an den Operational Lead Risk Engineering Markus Hellbach gemeldet. Die Schadenstelle wurde binnen 2 Stunden gesichert; eine fotografische Dokumentation gemaess Konzern-Schadenprotokoll-Standard SOP-RISK-04 wurde erstellt und in der Marsh ClientView-Schadenakte hinterlegt.</w:t>
      </w:r>
    </w:p>
    <w:p>
      <w:pPr>
        <w:pStyle w:val="Heading3"/>
      </w:pPr>
      <w:r>
        <w:t>3. Ursachenanalyse (vorlaeufig)</w:t>
      </w:r>
    </w:p>
    <w:p>
      <w:r>
        <w:t>Vorlaeufige Ursachenfeststellung: Transportschaden ECU-900 Container — Auffahrunfall des LKW, Sendung teilweise zerstoert</w:t>
      </w:r>
    </w:p>
    <w:p>
      <w:r>
        <w:t>Eine abschliessende Root-Cause-Analyse wird im Rahmen eines 5Why-/Ishikawa-Workshops mit dem Werkleiter, der Q-Leitung und ggf. einem externen Sachverstaendigen des Versicherers durchgefuehrt. Bei Verdacht auf Vorsatz, grobe Fahrlaessigkeit oder strafrechtliche Relevanz wird zusaetzlich der Chief Audit Executive Andreas Buehler sowie die Rechtsabteilung in Stuttgart eingebunden.</w:t>
      </w:r>
    </w:p>
    <w:p>
      <w:pPr>
        <w:pStyle w:val="Heading3"/>
      </w:pPr>
      <w:r>
        <w:t>4. Schadenshoehe und finanzielle Auswirkung</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Betrag (EUR)</w:t>
            </w:r>
          </w:p>
        </w:tc>
      </w:tr>
      <w:tr>
        <w:tc>
          <w:tcPr>
            <w:tcW w:type="dxa" w:w="4320"/>
          </w:tcPr>
          <w:p>
            <w:r>
              <w:t>Vorlaeufig geschaetzte Schadenshoehe (brutto)</w:t>
            </w:r>
          </w:p>
        </w:tc>
        <w:tc>
          <w:tcPr>
            <w:tcW w:type="dxa" w:w="4320"/>
          </w:tcPr>
          <w:p>
            <w:r>
              <w:t>240.000 EUR (Warenwert + Eilersatzproduktion)</w:t>
            </w:r>
          </w:p>
        </w:tc>
      </w:tr>
      <w:tr>
        <w:tc>
          <w:tcPr>
            <w:tcW w:type="dxa" w:w="4320"/>
          </w:tcPr>
          <w:p>
            <w:r>
              <w:t>Selbstbehalt gemaess Police</w:t>
            </w:r>
          </w:p>
        </w:tc>
        <w:tc>
          <w:tcPr>
            <w:tcW w:type="dxa" w:w="4320"/>
          </w:tcPr>
          <w:p>
            <w:r>
              <w:t>siehe Police-Stammdaten</w:t>
            </w:r>
          </w:p>
        </w:tc>
      </w:tr>
      <w:tr>
        <w:tc>
          <w:tcPr>
            <w:tcW w:type="dxa" w:w="4320"/>
          </w:tcPr>
          <w:p>
            <w:r>
              <w:t>Erwartete Entschaedigung (netto)</w:t>
            </w:r>
          </w:p>
        </w:tc>
        <w:tc>
          <w:tcPr>
            <w:tcW w:type="dxa" w:w="4320"/>
          </w:tcPr>
          <w:p>
            <w:r>
              <w:t>wird nach Sachverstaendigengutachten festgestellt</w:t>
            </w:r>
          </w:p>
        </w:tc>
      </w:tr>
      <w:tr>
        <w:tc>
          <w:tcPr>
            <w:tcW w:type="dxa" w:w="4320"/>
          </w:tcPr>
          <w:p>
            <w:r>
              <w:t>Folgekosten / Betriebsunterbrechung</w:t>
            </w:r>
          </w:p>
        </w:tc>
        <w:tc>
          <w:tcPr>
            <w:tcW w:type="dxa" w:w="4320"/>
          </w:tcPr>
          <w:p>
            <w:r>
              <w:t>separate BU-Meldung folgt falls einschlaegig</w:t>
            </w:r>
          </w:p>
        </w:tc>
      </w:tr>
      <w:tr>
        <w:tc>
          <w:tcPr>
            <w:tcW w:type="dxa" w:w="4320"/>
          </w:tcPr>
          <w:p>
            <w:r>
              <w:t>Reservierte Rueckstellung (HGB / IFRS)</w:t>
            </w:r>
          </w:p>
        </w:tc>
        <w:tc>
          <w:tcPr>
            <w:tcW w:type="dxa" w:w="4320"/>
          </w:tcPr>
          <w:p>
            <w:r>
              <w:t>wird im naechsten Quartalsabschluss gebildet</w:t>
            </w:r>
          </w:p>
        </w:tc>
      </w:tr>
    </w:tbl>
    <w:p>
      <w:pPr>
        <w:pStyle w:val="Heading3"/>
      </w:pPr>
      <w:r>
        <w:t>5. Sofortmassnahmen und Schadenminderung</w:t>
      </w:r>
    </w:p>
    <w:p>
      <w:pPr>
        <w:pStyle w:val="ListBullet"/>
      </w:pPr>
      <w:r>
        <w:t>Sicherung der Schadenstelle und Abgrenzung des betroffenen Bereichs</w:t>
      </w:r>
    </w:p>
    <w:p>
      <w:pPr>
        <w:pStyle w:val="ListBullet"/>
      </w:pPr>
      <w:r>
        <w:t>Information an betroffene Mitarbeiter, ggf. Erste-Hilfe-Leistung und D-Arzt-Vorstellung</w:t>
      </w:r>
    </w:p>
    <w:p>
      <w:pPr>
        <w:pStyle w:val="ListBullet"/>
      </w:pPr>
      <w:r>
        <w:t>Foto- und Videodokumentation gemaess SOP-RISK-04</w:t>
      </w:r>
    </w:p>
    <w:p>
      <w:pPr>
        <w:pStyle w:val="ListBullet"/>
      </w:pPr>
      <w:r>
        <w:t>Asservierung beschaedigter Bauteile fuer Sachverstaendigenpruefung</w:t>
      </w:r>
    </w:p>
    <w:p>
      <w:pPr>
        <w:pStyle w:val="ListBullet"/>
      </w:pPr>
      <w:r>
        <w:t>Information der lokalen Behoerden (Gewerbeaufsicht, ggf. Polizei) bei meldepflichtigen Ereignissen</w:t>
      </w:r>
    </w:p>
    <w:p>
      <w:pPr>
        <w:pStyle w:val="ListBullet"/>
      </w:pPr>
      <w:r>
        <w:t>Aktivierung des Konzern-Krisen-Kommunikationspfads bei Schaeden &gt; 1 Mio. EUR</w:t>
      </w:r>
    </w:p>
    <w:p>
      <w:pPr>
        <w:pStyle w:val="ListBullet"/>
      </w:pPr>
      <w:r>
        <w:t>Schadenmeldung an Marsh ClientView binnen 5 Werktagen (eingehalten)</w:t>
      </w:r>
    </w:p>
    <w:p>
      <w:pPr>
        <w:pStyle w:val="ListBullet"/>
      </w:pPr>
      <w:r>
        <w:t>Einleitung von Schadenminderungsmassnahmen gemaess Pflicht des Versicherungsnehmers</w:t>
      </w:r>
    </w:p>
    <w:p>
      <w:pPr>
        <w:pStyle w:val="Heading3"/>
      </w:pPr>
      <w:r>
        <w:t>6. Naechste Schritte und Eskalation</w:t>
      </w:r>
    </w:p>
    <w:p>
      <w:r>
        <w:t>Naechste Schritte: (i) Beauftragung eines externen Sachverstaendigen durch AGCS in Abstimmung mit Marsh; (ii) Erstellung des abschliessenden Schadenberichts binnen 30 Tagen; (iii) Verhandlung der Regulierungssumme mit dem Versicherer; (iv) ggf. Regressforderungen gegen Dritte (Lieferanten, Subunternehmer) durch die Rechtsabteilung pruefen lassen.</w:t>
      </w:r>
    </w:p>
    <w:p>
      <w:r>
        <w:t>Die Schadenakte verbleibt bis zur abschliessenden Regulierung im Status »Reguliert 10/2020« und wird im monatlichen Schadenstatistik-Update an Marsh sowie quartalsweise im Risk-Committee (Vorsitz: CFO Laura Bauer) berichtet.</w:t>
      </w:r>
    </w:p>
    <w:p>
      <w:pPr>
        <w:pStyle w:val="Heading3"/>
      </w:pPr>
      <w:r>
        <w:t>7. Verteiler</w:t>
      </w:r>
    </w:p>
    <w:p>
      <w:pPr>
        <w:pStyle w:val="ListBullet"/>
      </w:pPr>
      <w:r>
        <w:t>Konzern-Risk-Manager (Stefan Hoffmann / ab 1.7.2024 Dr. Petra Hollmann)</w:t>
      </w:r>
    </w:p>
    <w:p>
      <w:pPr>
        <w:pStyle w:val="ListBullet"/>
      </w:pPr>
      <w:r>
        <w:t>Operational Lead Risk Engineering (Markus Hellbach)</w:t>
      </w:r>
    </w:p>
    <w:p>
      <w:pPr>
        <w:pStyle w:val="ListBullet"/>
      </w:pPr>
      <w:r>
        <w:t>Marsh GmbH — Frau Stefanie Kornmann (SVP Industrial)</w:t>
      </w:r>
    </w:p>
    <w:p>
      <w:pPr>
        <w:pStyle w:val="ListBullet"/>
      </w:pPr>
      <w:r>
        <w:t>Versicherer AGCS — Schaden-Sachbearbeitung</w:t>
      </w:r>
    </w:p>
    <w:p>
      <w:pPr>
        <w:pStyle w:val="ListBullet"/>
      </w:pPr>
      <w:r>
        <w:t>Betroffene Werkleitung</w:t>
      </w:r>
    </w:p>
    <w:p>
      <w:pPr>
        <w:pStyle w:val="ListBullet"/>
      </w:pPr>
      <w:r>
        <w:t>Konzern-Controlling (Florian Maier) — Rueckstellungsbildung</w:t>
      </w:r>
    </w:p>
    <w:p>
      <w:pPr>
        <w:pStyle w:val="ListBullet"/>
      </w:pPr>
      <w:r>
        <w:t>Chief Audit Executive (Andreas Buehler) ab Schadenshoehe &gt; 500 TEUR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