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SM-2020-0024 — KFZ-Flotte</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SM-2020-0024</w:t>
            </w:r>
          </w:p>
        </w:tc>
      </w:tr>
      <w:tr>
        <w:tc>
          <w:tcPr>
            <w:tcW w:type="dxa" w:w="4320"/>
          </w:tcPr>
          <w:p>
            <w:r>
              <w:t>Schadennummer (Versicherer)</w:t>
            </w:r>
          </w:p>
        </w:tc>
        <w:tc>
          <w:tcPr>
            <w:tcW w:type="dxa" w:w="4320"/>
          </w:tcPr>
          <w:p>
            <w:r>
              <w:t>VS-SM-2020-0024-ALL</w:t>
            </w:r>
          </w:p>
        </w:tc>
      </w:tr>
      <w:tr>
        <w:tc>
          <w:tcPr>
            <w:tcW w:type="dxa" w:w="4320"/>
          </w:tcPr>
          <w:p>
            <w:r>
              <w:t>Sparte</w:t>
            </w:r>
          </w:p>
        </w:tc>
        <w:tc>
          <w:tcPr>
            <w:tcW w:type="dxa" w:w="4320"/>
          </w:tcPr>
          <w:p>
            <w:r>
              <w:t>KFZ-Flotte</w:t>
            </w:r>
          </w:p>
        </w:tc>
      </w:tr>
      <w:tr>
        <w:tc>
          <w:tcPr>
            <w:tcW w:type="dxa" w:w="4320"/>
          </w:tcPr>
          <w:p>
            <w:r>
              <w:t>Versicherer (Leader)</w:t>
            </w:r>
          </w:p>
        </w:tc>
        <w:tc>
          <w:tcPr>
            <w:tcW w:type="dxa" w:w="4320"/>
          </w:tcPr>
          <w:p>
            <w:r>
              <w:t>Allianz</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18.10.2020</w:t>
            </w:r>
          </w:p>
        </w:tc>
      </w:tr>
      <w:tr>
        <w:tc>
          <w:tcPr>
            <w:tcW w:type="dxa" w:w="4320"/>
          </w:tcPr>
          <w:p>
            <w:r>
              <w:t>Meldedatum bei Marsh</w:t>
            </w:r>
          </w:p>
        </w:tc>
        <w:tc>
          <w:tcPr>
            <w:tcW w:type="dxa" w:w="4320"/>
          </w:tcPr>
          <w:p>
            <w:r>
              <w:t>18.10.2020</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Konzern-Fuhrpark</w:t>
            </w:r>
          </w:p>
        </w:tc>
      </w:tr>
      <w:tr>
        <w:tc>
          <w:tcPr>
            <w:tcW w:type="dxa" w:w="4320"/>
          </w:tcPr>
          <w:p>
            <w:r>
              <w:t>Schadenort</w:t>
            </w:r>
          </w:p>
        </w:tc>
        <w:tc>
          <w:tcPr>
            <w:tcW w:type="dxa" w:w="4320"/>
          </w:tcPr>
          <w:p>
            <w:r>
              <w:t>B27 Stuttgart-Vaihingen</w:t>
            </w:r>
          </w:p>
        </w:tc>
      </w:tr>
      <w:tr>
        <w:tc>
          <w:tcPr>
            <w:tcW w:type="dxa" w:w="4320"/>
          </w:tcPr>
          <w:p>
            <w:r>
              <w:t>Vorlaeufiger Status</w:t>
            </w:r>
          </w:p>
        </w:tc>
        <w:tc>
          <w:tcPr>
            <w:tcW w:type="dxa" w:w="4320"/>
          </w:tcPr>
          <w:p>
            <w:r>
              <w:t>Reguliert 11/2020</w:t>
            </w:r>
          </w:p>
        </w:tc>
      </w:tr>
    </w:tbl>
    <w:p>
      <w:pPr>
        <w:pStyle w:val="Heading3"/>
      </w:pPr>
      <w:r>
        <w:t>2. Sachverhalt und Schadenshergang</w:t>
      </w:r>
    </w:p>
    <w:p>
      <w:r>
        <w:t>Am 18.10.2020 ereignete sich im Konzern-Fuhrpark (B27 Stuttgart-Vaihingen) folgender Schaden: Fahrzeug Totalschaden, Ablieferung an Verwertungsbetrieb</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Totalschaden Dienstwagen Audi A6 (CTO Hoffmann) — Wildunfall, kein Personenschaden</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48.000 EUR (Wiederbeschaffungswert)</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Allianz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11/2020«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Allianz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