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SM-2021-0005 — Produkthaftpflicht</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SM-2021-0005</w:t>
            </w:r>
          </w:p>
        </w:tc>
      </w:tr>
      <w:tr>
        <w:tc>
          <w:tcPr>
            <w:tcW w:type="dxa" w:w="4320"/>
          </w:tcPr>
          <w:p>
            <w:r>
              <w:t>Schadennummer (Versicherer)</w:t>
            </w:r>
          </w:p>
        </w:tc>
        <w:tc>
          <w:tcPr>
            <w:tcW w:type="dxa" w:w="4320"/>
          </w:tcPr>
          <w:p>
            <w:r>
              <w:t>VS-SM-2021-0005-AGC</w:t>
            </w:r>
          </w:p>
        </w:tc>
      </w:tr>
      <w:tr>
        <w:tc>
          <w:tcPr>
            <w:tcW w:type="dxa" w:w="4320"/>
          </w:tcPr>
          <w:p>
            <w:r>
              <w:t>Sparte</w:t>
            </w:r>
          </w:p>
        </w:tc>
        <w:tc>
          <w:tcPr>
            <w:tcW w:type="dxa" w:w="4320"/>
          </w:tcPr>
          <w:p>
            <w:r>
              <w:t>Produkthaftpflicht</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23.02.2021</w:t>
            </w:r>
          </w:p>
        </w:tc>
      </w:tr>
      <w:tr>
        <w:tc>
          <w:tcPr>
            <w:tcW w:type="dxa" w:w="4320"/>
          </w:tcPr>
          <w:p>
            <w:r>
              <w:t>Meldedatum bei Marsh</w:t>
            </w:r>
          </w:p>
        </w:tc>
        <w:tc>
          <w:tcPr>
            <w:tcW w:type="dxa" w:w="4320"/>
          </w:tcPr>
          <w:p>
            <w:r>
              <w:t>23.02.2021</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Stellantis Werk Mirafiori (IT) — Einbau ADAS-V4D</w:t>
            </w:r>
          </w:p>
        </w:tc>
      </w:tr>
      <w:tr>
        <w:tc>
          <w:tcPr>
            <w:tcW w:type="dxa" w:w="4320"/>
          </w:tcPr>
          <w:p>
            <w:r>
              <w:t>Schadenort</w:t>
            </w:r>
          </w:p>
        </w:tc>
        <w:tc>
          <w:tcPr>
            <w:tcW w:type="dxa" w:w="4320"/>
          </w:tcPr>
          <w:p>
            <w:r>
              <w:t>Werk Mirafiori, Endmontage</w:t>
            </w:r>
          </w:p>
        </w:tc>
      </w:tr>
      <w:tr>
        <w:tc>
          <w:tcPr>
            <w:tcW w:type="dxa" w:w="4320"/>
          </w:tcPr>
          <w:p>
            <w:r>
              <w:t>Vorlaeufiger Status</w:t>
            </w:r>
          </w:p>
        </w:tc>
        <w:tc>
          <w:tcPr>
            <w:tcW w:type="dxa" w:w="4320"/>
          </w:tcPr>
          <w:p>
            <w:r>
              <w:t>Reguliert 11/2023 nach Rechtsstreit</w:t>
            </w:r>
          </w:p>
        </w:tc>
      </w:tr>
    </w:tbl>
    <w:p>
      <w:pPr>
        <w:pStyle w:val="Heading3"/>
      </w:pPr>
      <w:r>
        <w:t>2. Sachverhalt und Schadenshergang</w:t>
      </w:r>
    </w:p>
    <w:p>
      <w:r>
        <w:t>Am 23.02.2021 ereignete sich im Stellantis Werk Mirafiori (IT) — Einbau ADAS-V4D (Werk Mirafiori, Endmontage) folgender Schaden: OTA-Rueckruf 18.500 Fahrzeuge; gemeinsame Rueckrufaktion mit Stellantis (Update auf FW 2.3.1)</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Software-Bug ADAS-V4D Firmware 2.3 — Falschpositiv-Detektionen bei Bauarbeiten-Markierungen</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1.450.000 EUR (Engineering + Rueckruf-Logistik)</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11/2023 nach Rechtsstreit«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