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SM-2021-0009 — Cyber</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SM-2021-0009</w:t>
            </w:r>
          </w:p>
        </w:tc>
      </w:tr>
      <w:tr>
        <w:tc>
          <w:tcPr>
            <w:tcW w:type="dxa" w:w="4320"/>
          </w:tcPr>
          <w:p>
            <w:r>
              <w:t>Schadennummer (Versicherer)</w:t>
            </w:r>
          </w:p>
        </w:tc>
        <w:tc>
          <w:tcPr>
            <w:tcW w:type="dxa" w:w="4320"/>
          </w:tcPr>
          <w:p>
            <w:r>
              <w:t>VS-SM-2021-0009-MUN</w:t>
            </w:r>
          </w:p>
        </w:tc>
      </w:tr>
      <w:tr>
        <w:tc>
          <w:tcPr>
            <w:tcW w:type="dxa" w:w="4320"/>
          </w:tcPr>
          <w:p>
            <w:r>
              <w:t>Sparte</w:t>
            </w:r>
          </w:p>
        </w:tc>
        <w:tc>
          <w:tcPr>
            <w:tcW w:type="dxa" w:w="4320"/>
          </w:tcPr>
          <w:p>
            <w:r>
              <w:t>Cyber</w:t>
            </w:r>
          </w:p>
        </w:tc>
      </w:tr>
      <w:tr>
        <w:tc>
          <w:tcPr>
            <w:tcW w:type="dxa" w:w="4320"/>
          </w:tcPr>
          <w:p>
            <w:r>
              <w:t>Versicherer (Leader)</w:t>
            </w:r>
          </w:p>
        </w:tc>
        <w:tc>
          <w:tcPr>
            <w:tcW w:type="dxa" w:w="4320"/>
          </w:tcPr>
          <w:p>
            <w:r>
              <w:t>Munich Re Beazley</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17.03.2021</w:t>
            </w:r>
          </w:p>
        </w:tc>
      </w:tr>
      <w:tr>
        <w:tc>
          <w:tcPr>
            <w:tcW w:type="dxa" w:w="4320"/>
          </w:tcPr>
          <w:p>
            <w:r>
              <w:t>Meldedatum bei Marsh</w:t>
            </w:r>
          </w:p>
        </w:tc>
        <w:tc>
          <w:tcPr>
            <w:tcW w:type="dxa" w:w="4320"/>
          </w:tcPr>
          <w:p>
            <w:r>
              <w:t>17.03.2021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RSG Muenchen</w:t>
            </w:r>
          </w:p>
        </w:tc>
      </w:tr>
      <w:tr>
        <w:tc>
          <w:tcPr>
            <w:tcW w:type="dxa" w:w="4320"/>
          </w:tcPr>
          <w:p>
            <w:r>
              <w:t>Schadenort</w:t>
            </w:r>
          </w:p>
        </w:tc>
        <w:tc>
          <w:tcPr>
            <w:tcW w:type="dxa" w:w="4320"/>
          </w:tcPr>
          <w:p>
            <w:r>
              <w:t>Office-Network RSG</w:t>
            </w:r>
          </w:p>
        </w:tc>
      </w:tr>
      <w:tr>
        <w:tc>
          <w:tcPr>
            <w:tcW w:type="dxa" w:w="4320"/>
          </w:tcPr>
          <w:p>
            <w:r>
              <w:t>Vorlaeufiger Status</w:t>
            </w:r>
          </w:p>
        </w:tc>
        <w:tc>
          <w:tcPr>
            <w:tcW w:type="dxa" w:w="4320"/>
          </w:tcPr>
          <w:p>
            <w:r>
              <w:t>Reguliert 06/2021</w:t>
            </w:r>
          </w:p>
        </w:tc>
      </w:tr>
    </w:tbl>
    <w:p>
      <w:pPr>
        <w:pStyle w:val="Heading3"/>
      </w:pPr>
      <w:r>
        <w:t>2. Sachverhalt und Schadenshergang</w:t>
      </w:r>
    </w:p>
    <w:p>
      <w:r>
        <w:t>Am 17.03.2021 ereignete sich im RSG Muenchen (Office-Network RSG) folgender Schaden: Sofortige Reset aller betroffenen Konten; CrowdStrike-Forensik 5 Tage</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Phishing-Angriff auf Lead-Developer Lars Wittmann — Credential-Theft, keine Datenexfiltration nachgewiesen</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78.000 EUR (Forensik + Awareness-Schulung)</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Munich Re Beazley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06/2021«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Munich Re Beazley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