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SM-2021-0029 — Rechtsschutz (Sondersparten)</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SM-2021-0029</w:t>
            </w:r>
          </w:p>
        </w:tc>
      </w:tr>
      <w:tr>
        <w:tc>
          <w:tcPr>
            <w:tcW w:type="dxa" w:w="4320"/>
          </w:tcPr>
          <w:p>
            <w:r>
              <w:t>Schadennummer (Versicherer)</w:t>
            </w:r>
          </w:p>
        </w:tc>
        <w:tc>
          <w:tcPr>
            <w:tcW w:type="dxa" w:w="4320"/>
          </w:tcPr>
          <w:p>
            <w:r>
              <w:t>VS-SM-2021-0029-ROL</w:t>
            </w:r>
          </w:p>
        </w:tc>
      </w:tr>
      <w:tr>
        <w:tc>
          <w:tcPr>
            <w:tcW w:type="dxa" w:w="4320"/>
          </w:tcPr>
          <w:p>
            <w:r>
              <w:t>Sparte</w:t>
            </w:r>
          </w:p>
        </w:tc>
        <w:tc>
          <w:tcPr>
            <w:tcW w:type="dxa" w:w="4320"/>
          </w:tcPr>
          <w:p>
            <w:r>
              <w:t>Rechtsschutz (Sondersparten)</w:t>
            </w:r>
          </w:p>
        </w:tc>
      </w:tr>
      <w:tr>
        <w:tc>
          <w:tcPr>
            <w:tcW w:type="dxa" w:w="4320"/>
          </w:tcPr>
          <w:p>
            <w:r>
              <w:t>Versicherer (Leader)</w:t>
            </w:r>
          </w:p>
        </w:tc>
        <w:tc>
          <w:tcPr>
            <w:tcW w:type="dxa" w:w="4320"/>
          </w:tcPr>
          <w:p>
            <w:r>
              <w:t>Roland Rechtsschutz</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03.11.2021</w:t>
            </w:r>
          </w:p>
        </w:tc>
      </w:tr>
      <w:tr>
        <w:tc>
          <w:tcPr>
            <w:tcW w:type="dxa" w:w="4320"/>
          </w:tcPr>
          <w:p>
            <w:r>
              <w:t>Meldedatum bei Marsh</w:t>
            </w:r>
          </w:p>
        </w:tc>
        <w:tc>
          <w:tcPr>
            <w:tcW w:type="dxa" w:w="4320"/>
          </w:tcPr>
          <w:p>
            <w:r>
              <w:t>03.11.2021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REA Konzern</w:t>
            </w:r>
          </w:p>
        </w:tc>
      </w:tr>
      <w:tr>
        <w:tc>
          <w:tcPr>
            <w:tcW w:type="dxa" w:w="4320"/>
          </w:tcPr>
          <w:p>
            <w:r>
              <w:t>Schadenort</w:t>
            </w:r>
          </w:p>
        </w:tc>
        <w:tc>
          <w:tcPr>
            <w:tcW w:type="dxa" w:w="4320"/>
          </w:tcPr>
          <w:p>
            <w:r>
              <w:t>AG Stuttgart, Wettbewerbskammer</w:t>
            </w:r>
          </w:p>
        </w:tc>
      </w:tr>
      <w:tr>
        <w:tc>
          <w:tcPr>
            <w:tcW w:type="dxa" w:w="4320"/>
          </w:tcPr>
          <w:p>
            <w:r>
              <w:t>Vorlaeufiger Status</w:t>
            </w:r>
          </w:p>
        </w:tc>
        <w:tc>
          <w:tcPr>
            <w:tcW w:type="dxa" w:w="4320"/>
          </w:tcPr>
          <w:p>
            <w:r>
              <w:t>Reguliert 05/2023</w:t>
            </w:r>
          </w:p>
        </w:tc>
      </w:tr>
    </w:tbl>
    <w:p>
      <w:pPr>
        <w:pStyle w:val="Heading3"/>
      </w:pPr>
      <w:r>
        <w:t>2. Sachverhalt und Schadenshergang</w:t>
      </w:r>
    </w:p>
    <w:p>
      <w:r>
        <w:t>Am 03.11.2021 ereignete sich im REA Konzern (AG Stuttgart, Wettbewerbskammer) folgender Schaden: Gerichtsverfahren ueber 2 Instanzen, Klage rechtskraeftig abgewiesen</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Wettbewerbsklage eines ehemaligen Lieferanten wegen angeblicher Markterhebungsspionage — abgewiesen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95.000 EUR (Anwalts- + Gerichtskosten)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Roland Rechtsschutz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05/2023«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Roland Rechtsschutz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