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SM-2023-0007 — Cyber (DDoS)</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SM-2023-0007</w:t>
            </w:r>
          </w:p>
        </w:tc>
      </w:tr>
      <w:tr>
        <w:tc>
          <w:tcPr>
            <w:tcW w:type="dxa" w:w="4320"/>
          </w:tcPr>
          <w:p>
            <w:r>
              <w:t>Schadennummer (Versicherer)</w:t>
            </w:r>
          </w:p>
        </w:tc>
        <w:tc>
          <w:tcPr>
            <w:tcW w:type="dxa" w:w="4320"/>
          </w:tcPr>
          <w:p>
            <w:r>
              <w:t>VS-SM-2023-0007-MUN</w:t>
            </w:r>
          </w:p>
        </w:tc>
      </w:tr>
      <w:tr>
        <w:tc>
          <w:tcPr>
            <w:tcW w:type="dxa" w:w="4320"/>
          </w:tcPr>
          <w:p>
            <w:r>
              <w:t>Sparte</w:t>
            </w:r>
          </w:p>
        </w:tc>
        <w:tc>
          <w:tcPr>
            <w:tcW w:type="dxa" w:w="4320"/>
          </w:tcPr>
          <w:p>
            <w:r>
              <w:t>Cyber (DDoS)</w:t>
            </w:r>
          </w:p>
        </w:tc>
      </w:tr>
      <w:tr>
        <w:tc>
          <w:tcPr>
            <w:tcW w:type="dxa" w:w="4320"/>
          </w:tcPr>
          <w:p>
            <w:r>
              <w:t>Versicherer (Leader)</w:t>
            </w:r>
          </w:p>
        </w:tc>
        <w:tc>
          <w:tcPr>
            <w:tcW w:type="dxa" w:w="4320"/>
          </w:tcPr>
          <w:p>
            <w:r>
              <w:t>Munich Re Beazley</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12.02.2023</w:t>
            </w:r>
          </w:p>
        </w:tc>
      </w:tr>
      <w:tr>
        <w:tc>
          <w:tcPr>
            <w:tcW w:type="dxa" w:w="4320"/>
          </w:tcPr>
          <w:p>
            <w:r>
              <w:t>Meldedatum bei Marsh</w:t>
            </w:r>
          </w:p>
        </w:tc>
        <w:tc>
          <w:tcPr>
            <w:tcW w:type="dxa" w:w="4320"/>
          </w:tcPr>
          <w:p>
            <w:r>
              <w:t>12.02.2023</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REA Konzern Web/Investor Relations</w:t>
            </w:r>
          </w:p>
        </w:tc>
      </w:tr>
      <w:tr>
        <w:tc>
          <w:tcPr>
            <w:tcW w:type="dxa" w:w="4320"/>
          </w:tcPr>
          <w:p>
            <w:r>
              <w:t>Schadenort</w:t>
            </w:r>
          </w:p>
        </w:tc>
        <w:tc>
          <w:tcPr>
            <w:tcW w:type="dxa" w:w="4320"/>
          </w:tcPr>
          <w:p>
            <w:r>
              <w:t>Hosting-Provider extern</w:t>
            </w:r>
          </w:p>
        </w:tc>
      </w:tr>
      <w:tr>
        <w:tc>
          <w:tcPr>
            <w:tcW w:type="dxa" w:w="4320"/>
          </w:tcPr>
          <w:p>
            <w:r>
              <w:t>Vorlaeufiger Status</w:t>
            </w:r>
          </w:p>
        </w:tc>
        <w:tc>
          <w:tcPr>
            <w:tcW w:type="dxa" w:w="4320"/>
          </w:tcPr>
          <w:p>
            <w:r>
              <w:t>Reguliert 05/2023</w:t>
            </w:r>
          </w:p>
        </w:tc>
      </w:tr>
    </w:tbl>
    <w:p>
      <w:pPr>
        <w:pStyle w:val="Heading3"/>
      </w:pPr>
      <w:r>
        <w:t>2. Sachverhalt und Schadenshergang</w:t>
      </w:r>
    </w:p>
    <w:p>
      <w:r>
        <w:t>Am 12.02.2023 ereignete sich im REA Konzern Web/Investor Relations (Hosting-Provider extern) folgender Schaden: Cloudflare-Mitigation aktiviert; ad-hoc Mitteilung mit 4h Verzoegerung publiziert</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DDoS-Angriff auf Investor-Relations-Webseite — 6 Stunden Nichtverfuegbarkeit, ad-hoc Mitteilung verzoegert</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42.000 EUR (Forensik + Hosting-Hardening)</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Munich Re Beazley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05/2023«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Munich Re Beazley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