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SM-2023-0023 — D&amp;O (Anspruchsabwehr)</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SM-2023-0023</w:t>
            </w:r>
          </w:p>
        </w:tc>
      </w:tr>
      <w:tr>
        <w:tc>
          <w:tcPr>
            <w:tcW w:type="dxa" w:w="4320"/>
          </w:tcPr>
          <w:p>
            <w:r>
              <w:t>Schadennummer (Versicherer)</w:t>
            </w:r>
          </w:p>
        </w:tc>
        <w:tc>
          <w:tcPr>
            <w:tcW w:type="dxa" w:w="4320"/>
          </w:tcPr>
          <w:p>
            <w:r>
              <w:t>VS-SM-2023-0023-AGC</w:t>
            </w:r>
          </w:p>
        </w:tc>
      </w:tr>
      <w:tr>
        <w:tc>
          <w:tcPr>
            <w:tcW w:type="dxa" w:w="4320"/>
          </w:tcPr>
          <w:p>
            <w:r>
              <w:t>Sparte</w:t>
            </w:r>
          </w:p>
        </w:tc>
        <w:tc>
          <w:tcPr>
            <w:tcW w:type="dxa" w:w="4320"/>
          </w:tcPr>
          <w:p>
            <w:r>
              <w:t>D&amp;O (Anspruchsabwehr)</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14.07.2023</w:t>
            </w:r>
          </w:p>
        </w:tc>
      </w:tr>
      <w:tr>
        <w:tc>
          <w:tcPr>
            <w:tcW w:type="dxa" w:w="4320"/>
          </w:tcPr>
          <w:p>
            <w:r>
              <w:t>Meldedatum bei Marsh</w:t>
            </w:r>
          </w:p>
        </w:tc>
        <w:tc>
          <w:tcPr>
            <w:tcW w:type="dxa" w:w="4320"/>
          </w:tcPr>
          <w:p>
            <w:r>
              <w:t>14.07.2023</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REA Vorstand</w:t>
            </w:r>
          </w:p>
        </w:tc>
      </w:tr>
      <w:tr>
        <w:tc>
          <w:tcPr>
            <w:tcW w:type="dxa" w:w="4320"/>
          </w:tcPr>
          <w:p>
            <w:r>
              <w:t>Schadenort</w:t>
            </w:r>
          </w:p>
        </w:tc>
        <w:tc>
          <w:tcPr>
            <w:tcW w:type="dxa" w:w="4320"/>
          </w:tcPr>
          <w:p>
            <w:r>
              <w:t>OLG Stuttgart, Aktionaersklage</w:t>
            </w:r>
          </w:p>
        </w:tc>
      </w:tr>
      <w:tr>
        <w:tc>
          <w:tcPr>
            <w:tcW w:type="dxa" w:w="4320"/>
          </w:tcPr>
          <w:p>
            <w:r>
              <w:t>Vorlaeufiger Status</w:t>
            </w:r>
          </w:p>
        </w:tc>
        <w:tc>
          <w:tcPr>
            <w:tcW w:type="dxa" w:w="4320"/>
          </w:tcPr>
          <w:p>
            <w:r>
              <w:t>In Bearbeitung — Berufung anhaengig</w:t>
            </w:r>
          </w:p>
        </w:tc>
      </w:tr>
    </w:tbl>
    <w:p>
      <w:pPr>
        <w:pStyle w:val="Heading3"/>
      </w:pPr>
      <w:r>
        <w:t>2. Sachverhalt und Schadenshergang</w:t>
      </w:r>
    </w:p>
    <w:p>
      <w:r>
        <w:t>Am 14.07.2023 ereignete sich im REA Vorstand (OLG Stuttgart, Aktionaersklage) folgender Schaden: Anwaltliche Vertretung Hengeler Mueller; Klage in 1. Instanz abgewiesen, Berufung anhaengig</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Aktionaersklage wegen vermeintlich verspaeteter Ad-hoc-Mitteilung (BMS-12 Reklamation) — abgewiesen 1. Instanz</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240.000 EUR (Anwaltskosten 1. Instanz)</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»In Bearbeitung — Berufung anhaengig«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