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SM-2023-0027 — Cyber (Datenschutzvorfall)</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SM-2023-0027</w:t>
            </w:r>
          </w:p>
        </w:tc>
      </w:tr>
      <w:tr>
        <w:tc>
          <w:tcPr>
            <w:tcW w:type="dxa" w:w="4320"/>
          </w:tcPr>
          <w:p>
            <w:r>
              <w:t>Schadennummer (Versicherer)</w:t>
            </w:r>
          </w:p>
        </w:tc>
        <w:tc>
          <w:tcPr>
            <w:tcW w:type="dxa" w:w="4320"/>
          </w:tcPr>
          <w:p>
            <w:r>
              <w:t>VS-SM-2023-0027-MUN</w:t>
            </w:r>
          </w:p>
        </w:tc>
      </w:tr>
      <w:tr>
        <w:tc>
          <w:tcPr>
            <w:tcW w:type="dxa" w:w="4320"/>
          </w:tcPr>
          <w:p>
            <w:r>
              <w:t>Sparte</w:t>
            </w:r>
          </w:p>
        </w:tc>
        <w:tc>
          <w:tcPr>
            <w:tcW w:type="dxa" w:w="4320"/>
          </w:tcPr>
          <w:p>
            <w:r>
              <w:t>Cyber (Datenschutzvorfall)</w:t>
            </w:r>
          </w:p>
        </w:tc>
      </w:tr>
      <w:tr>
        <w:tc>
          <w:tcPr>
            <w:tcW w:type="dxa" w:w="4320"/>
          </w:tcPr>
          <w:p>
            <w:r>
              <w:t>Versicherer (Leader)</w:t>
            </w:r>
          </w:p>
        </w:tc>
        <w:tc>
          <w:tcPr>
            <w:tcW w:type="dxa" w:w="4320"/>
          </w:tcPr>
          <w:p>
            <w:r>
              <w:t>Munich Re Beazley</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21.09.2023</w:t>
            </w:r>
          </w:p>
        </w:tc>
      </w:tr>
      <w:tr>
        <w:tc>
          <w:tcPr>
            <w:tcW w:type="dxa" w:w="4320"/>
          </w:tcPr>
          <w:p>
            <w:r>
              <w:t>Meldedatum bei Marsh</w:t>
            </w:r>
          </w:p>
        </w:tc>
        <w:tc>
          <w:tcPr>
            <w:tcW w:type="dxa" w:w="4320"/>
          </w:tcPr>
          <w:p>
            <w:r>
              <w:t>21.09.2023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RSG Muenchen</w:t>
            </w:r>
          </w:p>
        </w:tc>
      </w:tr>
      <w:tr>
        <w:tc>
          <w:tcPr>
            <w:tcW w:type="dxa" w:w="4320"/>
          </w:tcPr>
          <w:p>
            <w:r>
              <w:t>Schadenort</w:t>
            </w:r>
          </w:p>
        </w:tc>
        <w:tc>
          <w:tcPr>
            <w:tcW w:type="dxa" w:w="4320"/>
          </w:tcPr>
          <w:p>
            <w:r>
              <w:t>RSG, HR-Datenbank</w:t>
            </w:r>
          </w:p>
        </w:tc>
      </w:tr>
      <w:tr>
        <w:tc>
          <w:tcPr>
            <w:tcW w:type="dxa" w:w="4320"/>
          </w:tcPr>
          <w:p>
            <w:r>
              <w:t>Vorlaeufiger Status</w:t>
            </w:r>
          </w:p>
        </w:tc>
        <w:tc>
          <w:tcPr>
            <w:tcW w:type="dxa" w:w="4320"/>
          </w:tcPr>
          <w:p>
            <w:r>
              <w:t>Reguliert 12/2023</w:t>
            </w:r>
          </w:p>
        </w:tc>
      </w:tr>
    </w:tbl>
    <w:p>
      <w:pPr>
        <w:pStyle w:val="Heading3"/>
      </w:pPr>
      <w:r>
        <w:t>2. Sachverhalt und Schadenshergang</w:t>
      </w:r>
    </w:p>
    <w:p>
      <w:r>
        <w:t>Am 21.09.2023 ereignete sich im RSG Muenchen (RSG, HR-Datenbank) folgender Schaden: Meldung an LDI BW; interne arbeitsrechtliche Massnahmen; Awareness-Schulung HR</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Unbefugter Zugriff Praktikant auf HR-Datenbank — versehentliche Berechtigungserteilung, kein Datenabfluss extern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55.000 EUR (Forensik + LDI-Verfahren + Schulung)</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Munich Re Beazley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12/2023«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Munich Re Beazley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