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CAPA-Report Nr. 2023/0004 – Konzern-QMS / Real Estate Compliance</w:t>
      </w:r>
    </w:p>
    <w:p>
      <w:pPr>
        <w:jc w:val="center"/>
      </w:pPr>
      <w:r>
        <w:t>Corrective and Preventive Action; Trigger: ISO 14001-Auditfeststellung Werk Heilbronn</w:t>
      </w:r>
    </w:p>
    <w:p/>
    <w:p>
      <w:pPr>
        <w:pStyle w:val="Heading3"/>
      </w:pPr>
      <w:r>
        <w:t>Identifikation und Trigger</w:t>
      </w:r>
    </w:p>
    <w:p>
      <w:r>
        <w:t>CAPA-Nr.: 2023/0004. Bereich: Konzern-QMS / Real Estate. Trigger: Major-Findings (2) und Minor-Findings (4) aus der ISO 14001:2015-Ueberwachungsauditierung 2023 durch TUEV SUED Management Service GmbH (Lead Auditor: Dipl.-Ing. Andrea Vogt). Datum Trigger: 12. Juni 2023. Werk: REG Heilbronn (primaer); Standort-Folgewirkung: Stuttgart HQ, Muenchen, Katowice. Verantwortlich: Sabine Hartlieb (Real Estate Officer) in Abstimmung mit Andreas Buehler (CAE, Group Internal Audit) und Sabine Brand (Q-Leitung REG).</w:t>
      </w:r>
    </w:p>
    <w:p>
      <w:pPr>
        <w:pStyle w:val="Heading3"/>
      </w:pPr>
      <w:r>
        <w:t>Sachverhalt</w:t>
      </w:r>
    </w:p>
    <w:p>
      <w:r>
        <w:t>(1) Major: Energieverbrauchs-Reporting der Werke nicht durchgaengig nach ISO 50001 konsolidiert; vier Standorte (Brno, Gyoer, Katowice, Shanghai) liefern Daten in uneinheitlichen Formaten (Excel-Templates verschiedener Generationen). Konzern-EHS-Reporting im Geschaeftsbericht 2022 (Brennhagen Elektronik AG) konnte nur durch manuelle Korrekturen erstellt werden.</w:t>
      </w:r>
    </w:p>
    <w:p>
      <w:r>
        <w:t>(2) Major: Gefahrstoffkataster in Heilbronn nicht tagesaktuell (Verzug 11 Wochen). Sicherheitsdatenblaetter fuer 23 Substanzen fehlten im SAP EHS Modul.</w:t>
      </w:r>
    </w:p>
    <w:p>
      <w:r>
        <w:t>(3) Minor x4: Lueftungsfilterprotokolle Lueckenhaft (2/12 Monate fehlen); Notausgangsbeschilderung in Halle 2 teilweise verblasst; PSA-Schulungs-nachweise von 6 Mitarbeitern nicht im Schulungssystem (Cornerstone) eingebucht; Begehungs-Checklisten nutzen alte Vorlage Version 2.1 statt 3.0.</w:t>
      </w:r>
    </w:p>
    <w:p>
      <w:pPr>
        <w:pStyle w:val="Heading3"/>
      </w:pPr>
      <w:r>
        <w:t>Ursachenanalyse (Root Cause)</w:t>
      </w:r>
    </w:p>
    <w:p>
      <w:pPr>
        <w:pStyle w:val="Heading4"/>
      </w:pPr>
      <w:r>
        <w:t>§ 1 5-Why-Analyse Major 1 (Energie-Reporting)</w:t>
      </w:r>
    </w:p>
    <w:p>
      <w:r>
        <w:rPr>
          <w:b/>
        </w:rPr>
        <w:t xml:space="preserve">(1) </w:t>
      </w:r>
      <w:r>
        <w:t>Why 1: Standorte reporten in unterschiedlichen Excel-Formaten – warum? Konzern-Vorlage 3.0 wurde in 2022 ausgerollt, nicht alle Standorte umgestellt.</w:t>
      </w:r>
    </w:p>
    <w:p>
      <w:r>
        <w:rPr>
          <w:b/>
        </w:rPr>
        <w:t xml:space="preserve">(2) </w:t>
      </w:r>
      <w:r>
        <w:t>Why 2: Umstellung verzoegert – warum? Standortleitungen erhielten kein verbindliches Roll-out-Schreiben mit Frist und Verantwortlichkeit.</w:t>
      </w:r>
    </w:p>
    <w:p>
      <w:r>
        <w:rPr>
          <w:b/>
        </w:rPr>
        <w:t xml:space="preserve">(3) </w:t>
      </w:r>
      <w:r>
        <w:t>Why 3: Roll-out ohne klare Eskalationspfade – warum? Im Konzern-EHS-Programm 2022 war Real-Estate-Energie-Reporting nicht als Pflicht-Workstream definiert.</w:t>
      </w:r>
    </w:p>
    <w:p>
      <w:r>
        <w:rPr>
          <w:b/>
        </w:rPr>
        <w:t xml:space="preserve">(4) </w:t>
      </w:r>
      <w:r>
        <w:t>Why 4: Pflicht-Workstream gefehlt – warum? Programmplanung 2022 erfolgte vor Inkrafttreten ESRS (Sustainability Reporting), neue Anforderungen wurden nicht in den Zielkatalog aufgenommen.</w:t>
      </w:r>
    </w:p>
    <w:p>
      <w:r>
        <w:rPr>
          <w:b/>
        </w:rPr>
        <w:t xml:space="preserve">(5) </w:t>
      </w:r>
      <w:r>
        <w:t>Why 5 (Root Cause): Fehlende Schnittstelle Sustainability-Reporting &lt;-&gt; Real-Estate-Reporting im Konzern-Governance-Modell.</w:t>
      </w:r>
    </w:p>
    <w:p>
      <w:pPr>
        <w:pStyle w:val="Heading4"/>
      </w:pPr>
      <w:r>
        <w:t>§ 2 Root Cause Major 2 (Gefahrstoffkataster Heilbronn)</w:t>
      </w:r>
    </w:p>
    <w:p>
      <w:r>
        <w:rPr>
          <w:b/>
        </w:rPr>
        <w:t xml:space="preserve">(1) </w:t>
      </w:r>
      <w:r>
        <w:t>Personalwechsel im EHS-Team Heilbronn (Abgang QA-Officer Februar 2023; Nachbesetzung erst Juni 2023). Uebergabe der Pflege-Verantwortung fuer SAP EHS nicht formalisiert; keine Vertretungsregelung.</w:t>
      </w:r>
    </w:p>
    <w:p>
      <w:pPr>
        <w:pStyle w:val="Heading3"/>
      </w:pPr>
      <w:r>
        <w:t>Massnahmen (Korrekturen und Vorbeugung)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CAPA-Nr.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2023/0004-C1</w:t>
            </w:r>
          </w:p>
        </w:tc>
        <w:tc>
          <w:tcPr>
            <w:tcW w:type="dxa" w:w="1728"/>
          </w:tcPr>
          <w:p>
            <w:r>
              <w:t>Konzern-EHS-Reporting-Template 3.0 verbindlich ausrollen; alle 7 Standorte umstellen</w:t>
            </w:r>
          </w:p>
        </w:tc>
        <w:tc>
          <w:tcPr>
            <w:tcW w:type="dxa" w:w="1728"/>
          </w:tcPr>
          <w:p>
            <w:r>
              <w:t>S. Hartlieb / EHS-Lead jedes Werk</w:t>
            </w:r>
          </w:p>
        </w:tc>
        <w:tc>
          <w:tcPr>
            <w:tcW w:type="dxa" w:w="1728"/>
          </w:tcPr>
          <w:p>
            <w:r>
              <w:t>30.11.2023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2023/0004-C2</w:t>
            </w:r>
          </w:p>
        </w:tc>
        <w:tc>
          <w:tcPr>
            <w:tcW w:type="dxa" w:w="1728"/>
          </w:tcPr>
          <w:p>
            <w:r>
              <w:t>SAP EHS Gefahrstoffkataster Heilbronn aufholen und tagesaktuell halten; Vertretungsregelung</w:t>
            </w:r>
          </w:p>
        </w:tc>
        <w:tc>
          <w:tcPr>
            <w:tcW w:type="dxa" w:w="1728"/>
          </w:tcPr>
          <w:p>
            <w:r>
              <w:t>EHS-Officer Heilbronn (P. Mueller)</w:t>
            </w:r>
          </w:p>
        </w:tc>
        <w:tc>
          <w:tcPr>
            <w:tcW w:type="dxa" w:w="1728"/>
          </w:tcPr>
          <w:p>
            <w:r>
              <w:t>30.09.2023</w:t>
            </w:r>
          </w:p>
        </w:tc>
        <w:tc>
          <w:tcPr>
            <w:tcW w:type="dxa" w:w="1728"/>
          </w:tcPr>
          <w:p>
            <w:r>
              <w:t>abgeschlossen 12.09.2023</w:t>
            </w:r>
          </w:p>
        </w:tc>
      </w:tr>
      <w:tr>
        <w:tc>
          <w:tcPr>
            <w:tcW w:type="dxa" w:w="1728"/>
          </w:tcPr>
          <w:p>
            <w:r>
              <w:t>2023/0004-C3</w:t>
            </w:r>
          </w:p>
        </w:tc>
        <w:tc>
          <w:tcPr>
            <w:tcW w:type="dxa" w:w="1728"/>
          </w:tcPr>
          <w:p>
            <w:r>
              <w:t>Konzern-Governance-Update: Sustainability + Real Estate gekoppelt; ESRS-Datenfluss definieren</w:t>
            </w:r>
          </w:p>
        </w:tc>
        <w:tc>
          <w:tcPr>
            <w:tcW w:type="dxa" w:w="1728"/>
          </w:tcPr>
          <w:p>
            <w:r>
              <w:t>Dr. W. Hertz / Group Sustainability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2023/0004-P1</w:t>
            </w:r>
          </w:p>
        </w:tc>
        <w:tc>
          <w:tcPr>
            <w:tcW w:type="dxa" w:w="1728"/>
          </w:tcPr>
          <w:p>
            <w:r>
              <w:t>Pflicht-Schulung Energiemanagement fuer alle Werkleiter (eintaegig, Stuttgart)</w:t>
            </w:r>
          </w:p>
        </w:tc>
        <w:tc>
          <w:tcPr>
            <w:tcW w:type="dxa" w:w="1728"/>
          </w:tcPr>
          <w:p>
            <w:r>
              <w:t>Konzern-HR (Akademie)</w:t>
            </w:r>
          </w:p>
        </w:tc>
        <w:tc>
          <w:tcPr>
            <w:tcW w:type="dxa" w:w="1728"/>
          </w:tcPr>
          <w:p>
            <w:r>
              <w:t>Q4/2023</w:t>
            </w:r>
          </w:p>
        </w:tc>
        <w:tc>
          <w:tcPr>
            <w:tcW w:type="dxa" w:w="1728"/>
          </w:tcPr>
          <w:p>
            <w:r>
              <w:t>geplant 15.11.2023</w:t>
            </w:r>
          </w:p>
        </w:tc>
      </w:tr>
      <w:tr>
        <w:tc>
          <w:tcPr>
            <w:tcW w:type="dxa" w:w="1728"/>
          </w:tcPr>
          <w:p>
            <w:r>
              <w:t>2023/0004-P2</w:t>
            </w:r>
          </w:p>
        </w:tc>
        <w:tc>
          <w:tcPr>
            <w:tcW w:type="dxa" w:w="1728"/>
          </w:tcPr>
          <w:p>
            <w:r>
              <w:t>Quartalsweises EHS-Dashboard fuer Vorstand (Anna Mueller, Laura Bauer)</w:t>
            </w:r>
          </w:p>
        </w:tc>
        <w:tc>
          <w:tcPr>
            <w:tcW w:type="dxa" w:w="1728"/>
          </w:tcPr>
          <w:p>
            <w:r>
              <w:t>Group Controlling (F. Maier)</w:t>
            </w:r>
          </w:p>
        </w:tc>
        <w:tc>
          <w:tcPr>
            <w:tcW w:type="dxa" w:w="1728"/>
          </w:tcPr>
          <w:p>
            <w:r>
              <w:t>ab Q1/2024</w:t>
            </w:r>
          </w:p>
        </w:tc>
        <w:tc>
          <w:tcPr>
            <w:tcW w:type="dxa" w:w="1728"/>
          </w:tcPr>
          <w:p>
            <w:r>
              <w:t>in Vorbereitung</w:t>
            </w:r>
          </w:p>
        </w:tc>
      </w:tr>
    </w:tbl>
    <w:p>
      <w:pPr>
        <w:pStyle w:val="Heading3"/>
      </w:pPr>
      <w:r>
        <w:t>Wirksamkeitspruefung und Schliessung</w:t>
      </w:r>
    </w:p>
    <w:p>
      <w:r>
        <w:t>Die Wirksamkeit der Korrekturmassnahmen wird in einer Re-Auditrunde im Maerz 2024 durch TUEV SUED ueberprueft. Konzern-interner Re-Test durch CAE Andreas Buehler im Januar 2024 vorgesehen. CAPA-Schliessung erst nach erfolgreicher Wirksamkeitspruefung; voraussichtlich 30. April 2024.</w:t>
      </w:r>
    </w:p>
    <w:p>
      <w:r>
        <w:t>Freigabe-Pfad: Real Estate Officer (Hartlieb) -&gt; Head of Real Estate (Dr. Hertz) -&gt; Group Internal Audit (Buehler) -&gt; Vorstand (COO Dr. Thomas Weber, Information CFO Laura Bauer).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