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 (RSG)</w:t>
      </w:r>
    </w:p>
    <w:p>
      <w:r>
        <w:rPr>
          <w:sz w:val="18"/>
        </w:rPr>
        <w:t>Lyonel-Feininger-Strasse 28, 80807 Muenchen  |  HRB 245612,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2023 – RSG Werk Muenchen-Schwabing</w:t>
      </w:r>
    </w:p>
    <w:p>
      <w:pPr>
        <w:jc w:val="center"/>
      </w:pPr>
      <w:r>
        <w:t>Abrechnungszeitraum: 01.01.2023 – 31.12.2023</w:t>
      </w:r>
    </w:p>
    <w:p/>
    <w:p>
      <w:pPr>
        <w:pStyle w:val="Heading3"/>
      </w:pPr>
      <w:r>
        <w:t>Mietobjekt und Vertragsbezug</w:t>
      </w:r>
    </w:p>
    <w:p>
      <w:r>
        <w:t>Mietobjekt: RSG Werk Muenchen-Schwabing, Lyonel-Feininger-Strasse 28, 80807 Muenchen-Schwabing. Mieter: Brennhagen Software GmbH (RSG). Vermieter: Allianz Real Estate GmbH, Seidlstrasse 24-24a, 80335 Muenchen. Grundlage: Gewerblicher Mietvertrag vom 1. Januar 2020, § 3 (3) (Nebenkostenabrechnung) i.V.m. Anlage 2 (Nebenkostenkatalog). Verteilerschluessel grundsaetzlich nach angemieteter Flaeche (4.620 m² Buerogebaeude (3. - 6. OG));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80.784</w:t>
            </w:r>
          </w:p>
        </w:tc>
        <w:tc>
          <w:tcPr>
            <w:tcW w:type="dxa" w:w="2160"/>
          </w:tcPr>
          <w:p>
            <w:r>
              <w:t>79.168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22.032</w:t>
            </w:r>
          </w:p>
        </w:tc>
        <w:tc>
          <w:tcPr>
            <w:tcW w:type="dxa" w:w="2160"/>
          </w:tcPr>
          <w:p>
            <w:r>
              <w:t>21.591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33.048</w:t>
            </w:r>
          </w:p>
        </w:tc>
        <w:tc>
          <w:tcPr>
            <w:tcW w:type="dxa" w:w="2160"/>
          </w:tcPr>
          <w:p>
            <w:r>
              <w:t>32.387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14.688</w:t>
            </w:r>
          </w:p>
        </w:tc>
        <w:tc>
          <w:tcPr>
            <w:tcW w:type="dxa" w:w="2160"/>
          </w:tcPr>
          <w:p>
            <w:r>
              <w:t>14.394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25.704</w:t>
            </w:r>
          </w:p>
        </w:tc>
        <w:tc>
          <w:tcPr>
            <w:tcW w:type="dxa" w:w="2160"/>
          </w:tcPr>
          <w:p>
            <w:r>
              <w:t>25.190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18.360</w:t>
            </w:r>
          </w:p>
        </w:tc>
        <w:tc>
          <w:tcPr>
            <w:tcW w:type="dxa" w:w="2160"/>
          </w:tcPr>
          <w:p>
            <w:r>
              <w:t>17.993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22.032</w:t>
            </w:r>
          </w:p>
        </w:tc>
        <w:tc>
          <w:tcPr>
            <w:tcW w:type="dxa" w:w="2160"/>
          </w:tcPr>
          <w:p>
            <w:r>
              <w:t>21.591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18.360</w:t>
            </w:r>
          </w:p>
        </w:tc>
        <w:tc>
          <w:tcPr>
            <w:tcW w:type="dxa" w:w="2160"/>
          </w:tcPr>
          <w:p>
            <w:r>
              <w:t>17.993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367.200</w:t>
            </w:r>
          </w:p>
        </w:tc>
        <w:tc>
          <w:tcPr>
            <w:tcW w:type="dxa" w:w="2160"/>
          </w:tcPr>
          <w:p>
            <w:r>
              <w:t>359.856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2023: 345.600 EUR (12 Monatsraten zu je 28.800 EUR).</w:t>
      </w:r>
    </w:p>
    <w:p>
      <w:r>
        <w:t>Anteilige Gesamtkosten Mieter: 359.856 EUR.</w:t>
      </w:r>
    </w:p>
    <w:p>
      <w:r>
        <w:t>Saldo zugunsten Vermieter (Nachzahlung Mieter): 14.256 EUR. Die Saldoverrechnung erfolgt mit der naechsten Monatsmiete (Februar 2024);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2023: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2023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1.7.2023.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NK-AB-2023 vom Maerz 2024).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