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Testbericht Funktionstest EOL – SAP S/4HANA Rollout Real Estate Modul</w:t>
      </w:r>
    </w:p>
    <w:p>
      <w:pPr>
        <w:jc w:val="center"/>
      </w:pPr>
      <w:r>
        <w:t>PRJ-2024-003 / Konzern-IT-Programm »S/4HANA Move 2025«; Berichtsdatum: 18. Maerz 2024</w:t>
      </w:r>
    </w:p>
    <w:p/>
    <w:p>
      <w:pPr>
        <w:pStyle w:val="Heading3"/>
      </w:pPr>
      <w:r>
        <w:t>Projekt und Testumfang</w:t>
      </w:r>
    </w:p>
    <w:p>
      <w:r>
        <w:t>Im Rahmen des Konzernprogramms »S/4HANA Move 2025« (Programm-Lead: CIO Stefan Hoffmann bis 30.6.2024, danach Uebergabe an Dr. Petra Hollmann CTO) wird das alte SAP ECC 6.0-System durch SAP S/4HANA 2023 abgeloest. Der vorliegende Bericht dokumentiert den End-of-Line-(EOL)-Funktionstest des Real-Estate-Submoduls (RE-FX Flexible Real Estate Management) im Rahmen von Projektphase »Test-Welle 3« vom 4. - 15. Maerz 2024.</w:t>
      </w:r>
    </w:p>
    <w:p>
      <w:r>
        <w:t>Umfang: 142 Testfaelle ueber die Geschaeftsprozesse (P1) Mietvertragsverwaltung, (P2) Nebenkostenabrechnung, (P3) Immobilienbewertung (IAS 16/IFRS 16), (P4) PV-Aufdach-Vermietung an externe Pachtnehmer und (P5) Konzern-interne Verrechnung REA-REG und REA-Tochtergesellschaften.</w:t>
      </w:r>
    </w:p>
    <w:p>
      <w:pPr>
        <w:pStyle w:val="Heading3"/>
      </w:pPr>
      <w:r>
        <w:t>Testorganisation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Bereich</w:t>
            </w:r>
          </w:p>
        </w:tc>
      </w:tr>
      <w:tr>
        <w:tc>
          <w:tcPr>
            <w:tcW w:type="dxa" w:w="2880"/>
          </w:tcPr>
          <w:p>
            <w:r>
              <w:t>Test-Lead</w:t>
            </w:r>
          </w:p>
        </w:tc>
        <w:tc>
          <w:tcPr>
            <w:tcW w:type="dxa" w:w="2880"/>
          </w:tcPr>
          <w:p>
            <w:r>
              <w:t>Lars Wittmann</w:t>
            </w:r>
          </w:p>
        </w:tc>
        <w:tc>
          <w:tcPr>
            <w:tcW w:type="dxa" w:w="2880"/>
          </w:tcPr>
          <w:p>
            <w:r>
              <w:t>RSG Muenchen (Lead Developer)</w:t>
            </w:r>
          </w:p>
        </w:tc>
      </w:tr>
      <w:tr>
        <w:tc>
          <w:tcPr>
            <w:tcW w:type="dxa" w:w="2880"/>
          </w:tcPr>
          <w:p>
            <w:r>
              <w:t>Fachbereich Real Estate</w:t>
            </w:r>
          </w:p>
        </w:tc>
        <w:tc>
          <w:tcPr>
            <w:tcW w:type="dxa" w:w="2880"/>
          </w:tcPr>
          <w:p>
            <w:r>
              <w:t>Sabine Hartlieb</w:t>
            </w:r>
          </w:p>
        </w:tc>
        <w:tc>
          <w:tcPr>
            <w:tcW w:type="dxa" w:w="2880"/>
          </w:tcPr>
          <w:p>
            <w:r>
              <w:t>Real Estate Officer Konzern</w:t>
            </w:r>
          </w:p>
        </w:tc>
      </w:tr>
      <w:tr>
        <w:tc>
          <w:tcPr>
            <w:tcW w:type="dxa" w:w="2880"/>
          </w:tcPr>
          <w:p>
            <w:r>
              <w:t>Fachbereich Accounting</w:t>
            </w:r>
          </w:p>
        </w:tc>
        <w:tc>
          <w:tcPr>
            <w:tcW w:type="dxa" w:w="2880"/>
          </w:tcPr>
          <w:p>
            <w:r>
              <w:t>Dr. Heike Berger</w:t>
            </w:r>
          </w:p>
        </w:tc>
        <w:tc>
          <w:tcPr>
            <w:tcW w:type="dxa" w:w="2880"/>
          </w:tcPr>
          <w:p>
            <w:r>
              <w:t>Group Tax &amp; Accounting Policy</w:t>
            </w:r>
          </w:p>
        </w:tc>
      </w:tr>
      <w:tr>
        <w:tc>
          <w:tcPr>
            <w:tcW w:type="dxa" w:w="2880"/>
          </w:tcPr>
          <w:p>
            <w:r>
              <w:t>IT-Architektur</w:t>
            </w:r>
          </w:p>
        </w:tc>
        <w:tc>
          <w:tcPr>
            <w:tcW w:type="dxa" w:w="2880"/>
          </w:tcPr>
          <w:p>
            <w:r>
              <w:t>Florian Maier (Group Controlling)</w:t>
            </w:r>
          </w:p>
        </w:tc>
        <w:tc>
          <w:tcPr>
            <w:tcW w:type="dxa" w:w="2880"/>
          </w:tcPr>
          <w:p>
            <w:r>
              <w:t>Stuttgart</w:t>
            </w:r>
          </w:p>
        </w:tc>
      </w:tr>
      <w:tr>
        <w:tc>
          <w:tcPr>
            <w:tcW w:type="dxa" w:w="2880"/>
          </w:tcPr>
          <w:p>
            <w:r>
              <w:t>Externer Berater</w:t>
            </w:r>
          </w:p>
        </w:tc>
        <w:tc>
          <w:tcPr>
            <w:tcW w:type="dxa" w:w="2880"/>
          </w:tcPr>
          <w:p>
            <w:r>
              <w:t>PwC Deutschland (Lead Marc Engler)</w:t>
            </w:r>
          </w:p>
        </w:tc>
        <w:tc>
          <w:tcPr>
            <w:tcW w:type="dxa" w:w="2880"/>
          </w:tcPr>
          <w:p>
            <w:r>
              <w:t>Test-Coordination / SAP-Partner</w:t>
            </w:r>
          </w:p>
        </w:tc>
      </w:tr>
      <w:tr>
        <w:tc>
          <w:tcPr>
            <w:tcW w:type="dxa" w:w="2880"/>
          </w:tcPr>
          <w:p>
            <w:r>
              <w:t>Notar / Vertragsmustertest</w:t>
            </w:r>
          </w:p>
        </w:tc>
        <w:tc>
          <w:tcPr>
            <w:tcW w:type="dxa" w:w="2880"/>
          </w:tcPr>
          <w:p>
            <w:r>
              <w:t>Dr. Karin Sonneborn</w:t>
            </w:r>
          </w:p>
        </w:tc>
        <w:tc>
          <w:tcPr>
            <w:tcW w:type="dxa" w:w="2880"/>
          </w:tcPr>
          <w:p>
            <w:r>
              <w:t>Stuttgart</w:t>
            </w:r>
          </w:p>
        </w:tc>
      </w:tr>
    </w:tbl>
    <w:p>
      <w:pPr>
        <w:pStyle w:val="Heading3"/>
      </w:pPr>
      <w:r>
        <w:t>Testfaelle und Ergebnisse</w:t>
      </w:r>
    </w:p>
    <w:p>
      <w:pPr>
        <w:pStyle w:val="Heading4"/>
      </w:pPr>
      <w:r>
        <w:t>§ 1 P1 Mietvertragsverwaltung</w:t>
      </w:r>
    </w:p>
    <w:p>
      <w:r>
        <w:rPr>
          <w:b/>
        </w:rPr>
        <w:t xml:space="preserve">(1) </w:t>
      </w:r>
      <w:r>
        <w:t>32 Testfaelle ausgefuehrt, 30 PASS, 2 FAIL (TF-018, TF-024). FAIL betraf Indexierung VPI/CPI mit gemischtem Schwellenwert-Modell: System rechnete Schwellenwert nicht mehrstufig. Defekt-ID DEF-RE-024.</w:t>
      </w:r>
    </w:p>
    <w:p>
      <w:r>
        <w:rPr>
          <w:b/>
        </w:rPr>
        <w:t xml:space="preserve">(2) </w:t>
      </w:r>
      <w:r>
        <w:t>Workaround: manuelles Override durch RE-Officer; Hotfix von SAP angefordert (SAP Note 3458291); erwartet Ende April 2024.</w:t>
      </w:r>
    </w:p>
    <w:p>
      <w:r>
        <w:rPr>
          <w:b/>
        </w:rPr>
        <w:t xml:space="preserve">(3) </w:t>
      </w:r>
      <w:r>
        <w:t>Testabdeckung Mietvertraege Brennhagen-Konzern: alle 7 Standorte (REA/REG/RSG/RPL/RCZ/RHU/RCN); alle Vertragsarten.</w:t>
      </w:r>
    </w:p>
    <w:p>
      <w:pPr>
        <w:pStyle w:val="Heading4"/>
      </w:pPr>
      <w:r>
        <w:t>§ 2 P2 Nebenkostenabrechnung</w:t>
      </w:r>
    </w:p>
    <w:p>
      <w:r>
        <w:rPr>
          <w:b/>
        </w:rPr>
        <w:t xml:space="preserve">(1) </w:t>
      </w:r>
      <w:r>
        <w:t>28 Testfaelle, 27 PASS, 1 Warning (TF-046): Rundungsdifferenz bei Zweitnachkomma von 1 ct bei einigen Mehrjahresumlagen. Akzeptable Toleranz; keine Korrektur.</w:t>
      </w:r>
    </w:p>
    <w:p>
      <w:r>
        <w:rPr>
          <w:b/>
        </w:rPr>
        <w:t xml:space="preserve">(2) </w:t>
      </w:r>
      <w:r>
        <w:t>Performance-Test: Abrechnung fuer 14.000 Mietvertraege (Hochrechnung Konzern + interne Verrechnung) &lt; 6 Minuten. Akzeptanzkriterium &lt; 15 Minuten erfuellt.</w:t>
      </w:r>
    </w:p>
    <w:p>
      <w:r>
        <w:rPr>
          <w:b/>
        </w:rPr>
        <w:t xml:space="preserve">(3) </w:t>
      </w:r>
      <w:r>
        <w:t>PDF-Generierung nach Konzern-Briefkopf erfolgreich; Lokalisierung fuer PL/CZ/HU/CN in Sprache und Waehrung getestet.</w:t>
      </w:r>
    </w:p>
    <w:p>
      <w:pPr>
        <w:pStyle w:val="Heading4"/>
      </w:pPr>
      <w:r>
        <w:t>§ 3 P3 Immobilienbewertung IAS 16 / IFRS 16</w:t>
      </w:r>
    </w:p>
    <w:p>
      <w:r>
        <w:rPr>
          <w:b/>
        </w:rPr>
        <w:t xml:space="preserve">(1) </w:t>
      </w:r>
      <w:r>
        <w:t>24 Testfaelle, 24 PASS. Abgleich Verkehrswert (extern gemessen) gegen Buchwert (intern fortgeschrieben) korrekt; Right-of-Use-Asset-Berechnung fuer Miet-objekte mit korrekten Diskontierungssaetzen (3,2 % Wpf-Bond-Yield-Equivalent).</w:t>
      </w:r>
    </w:p>
    <w:p>
      <w:r>
        <w:rPr>
          <w:b/>
        </w:rPr>
        <w:t xml:space="preserve">(2) </w:t>
      </w:r>
      <w:r>
        <w:t>Schnittstelle zu Treasury-Modul (TRM) fuer Diskontierungssatz-Anbindung funktionsfaehig.</w:t>
      </w:r>
    </w:p>
    <w:p>
      <w:pPr>
        <w:pStyle w:val="Heading4"/>
      </w:pPr>
      <w:r>
        <w:t>§ 4 P4 und P5</w:t>
      </w:r>
    </w:p>
    <w:p>
      <w:r>
        <w:rPr>
          <w:b/>
        </w:rPr>
        <w:t xml:space="preserve">(1) </w:t>
      </w:r>
      <w:r>
        <w:t>26 + 32 Testfaelle, alle PASS bis auf 1 FAIL bei interner Verrechnung REA-RCN (Waehrungsumrechnung EUR/CNY mit historischem Kurs); DEF-RE-058 dokumentiert.</w:t>
      </w:r>
    </w:p>
    <w:p>
      <w:r>
        <w:rPr>
          <w:b/>
        </w:rPr>
        <w:t xml:space="preserve">(2) </w:t>
      </w:r>
      <w:r>
        <w:t>PV-Aufdach-Pachtvertraege (Pachtnehmer ZAE Solar, MaxSolar etc.) korrekt als eigener Vertragstyp »LRA« angelegt; monatliche Abrechnung getestet.</w:t>
      </w:r>
    </w:p>
    <w:p>
      <w:pPr>
        <w:pStyle w:val="Heading3"/>
      </w:pPr>
      <w:r>
        <w:t>Defekte und Folgemassnahmen</w:t>
      </w:r>
    </w:p>
    <w:p>
      <w:r>
        <w:t>Insgesamt 4 Defekte (2 FAIL Major P1, 1 FAIL Minor P5, 1 Warning P2). Schliessung DEF-RE-024 abhaengig von SAP-Hotfix; DEF-RE-058 in Konzern-Custom-Code via ABAP geloest (PR-Reviewer: Lars Wittmann; Merge 15. Maerz 2024).</w:t>
      </w:r>
    </w:p>
    <w:p>
      <w:r>
        <w:t>Go/No-Go-Empfehlung fuer Steuerungsausschuss: GO mit Auflagen (Aufloesung DEF-RE-024 vor Cutover; Live-Termin 1. Juli 2024 fuer Welle 3 bestaetigt).</w:t>
      </w:r>
    </w:p>
    <w:p>
      <w:pPr>
        <w:pStyle w:val="Heading3"/>
      </w:pPr>
      <w:r>
        <w:t>Freigabe</w:t>
      </w:r>
    </w:p>
    <w:p>
      <w:r>
        <w:t>Ort, Datum: Stuttgart, den 18. Maerz 2024</w:t>
      </w:r>
    </w:p>
    <w:p>
      <w:r>
        <w:t>_________________________            _________________________</w:t>
        <w:br/>
        <w:t>Lars Wittmann                          Sabine Hartlieb</w:t>
        <w:br/>
        <w:t>Test-Lead                          Real Estate Officer</w:t>
        <w:br/>
        <w:t>RSG Muenchen                       Konzern Brennhagen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