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(Shanghai) Co. Ltd. (RCN)</w:t>
      </w:r>
    </w:p>
    <w:p>
      <w:r>
        <w:rPr>
          <w:sz w:val="18"/>
        </w:rPr>
        <w:t>Caohejing Hi-Tech Park, Building 7, 888 Hongqiao Road, 200336 Shanghai-Minhang (CN)  |  Unified Social Credit Code 91310115MA1FL42Q38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09/2022 – Konzern-interne Verrechnung Immobilien-Services</w:t>
      </w:r>
    </w:p>
    <w:p>
      <w:pPr>
        <w:jc w:val="center"/>
      </w:pPr>
      <w:r>
        <w:t>Rechnung Nr. RCN-IC-2022-09-021 vom 30. September 2022</w:t>
      </w:r>
    </w:p>
    <w:p/>
    <w:p>
      <w:pPr>
        <w:pStyle w:val="Heading3"/>
      </w:pPr>
      <w:r>
        <w:t>Rechnungsdaten und Vertragsbezug</w:t>
      </w:r>
    </w:p>
    <w:p>
      <w:r>
        <w:t>Rechnungsempfaenger: Brennhagen Holding GmbH (RHO), Vaihinger Strasse 120, 70567 Stuttgart, HRB 726450, Amtsgericht Stuttgart. Rechnungssteller: Brennhagen (Shanghai) Co. Ltd. (RCN), Caohejing Hi-Tech Park, Building 7, 888 Hongqiao Road, 200336 Shanghai-Minhang, China; Unified Social Credit Code 91310115MA1FL42Q38.</w:t>
      </w:r>
    </w:p>
    <w:p>
      <w:r>
        <w:t>Rechtsgrundlage: Konzern-IC-Verrechnungs-Rahmenvertrag vom 1. Januar 2020 (RHO-RCN) i.V.m. Transfer-Pricing-Local-File RCN 2022 (TPLF-RCN-2022; Methode TNMM). Verrechnung gemaess OECD-TP-Guidelines Kapitel VII (Konzern-Dienstleistungen, Routine-Funktion mit Cost-Plus 5 %).</w:t>
      </w:r>
    </w:p>
    <w:p>
      <w:pPr>
        <w:pStyle w:val="Heading3"/>
      </w:pPr>
      <w:r>
        <w:t>Rechnungsgegenstand: Real-Estate-Services Shanghai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Stundensatz (EUR)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Standort-Auswahl Shanghai-Pudong fuer zukuenftiges Aftermarket-Logistikzentrum</w:t>
            </w:r>
          </w:p>
        </w:tc>
        <w:tc>
          <w:tcPr>
            <w:tcW w:type="dxa" w:w="1728"/>
          </w:tcPr>
          <w:p>
            <w:r>
              <w:t>120 h</w:t>
            </w:r>
          </w:p>
        </w:tc>
        <w:tc>
          <w:tcPr>
            <w:tcW w:type="dxa" w:w="1728"/>
          </w:tcPr>
          <w:p>
            <w:r>
              <w:t>85,00</w:t>
            </w:r>
          </w:p>
        </w:tc>
        <w:tc>
          <w:tcPr>
            <w:tcW w:type="dxa" w:w="1728"/>
          </w:tcPr>
          <w:p>
            <w:r>
              <w:t>10.200,00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Verhandlung Verlaengerung Mietvertrag Caohejing Hi-Tech Park (5 Jahre)</w:t>
            </w:r>
          </w:p>
        </w:tc>
        <w:tc>
          <w:tcPr>
            <w:tcW w:type="dxa" w:w="1728"/>
          </w:tcPr>
          <w:p>
            <w:r>
              <w:t>85 h</w:t>
            </w:r>
          </w:p>
        </w:tc>
        <w:tc>
          <w:tcPr>
            <w:tcW w:type="dxa" w:w="1728"/>
          </w:tcPr>
          <w:p>
            <w:r>
              <w:t>85,00</w:t>
            </w:r>
          </w:p>
        </w:tc>
        <w:tc>
          <w:tcPr>
            <w:tcW w:type="dxa" w:w="1728"/>
          </w:tcPr>
          <w:p>
            <w:r>
              <w:t>7.225,00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Koordination ortsansaessiger Sachverstaendiger (Savills) fuer Mietwert-Update 2022</w:t>
            </w:r>
          </w:p>
        </w:tc>
        <w:tc>
          <w:tcPr>
            <w:tcW w:type="dxa" w:w="1728"/>
          </w:tcPr>
          <w:p>
            <w:r>
              <w:t>32 h</w:t>
            </w:r>
          </w:p>
        </w:tc>
        <w:tc>
          <w:tcPr>
            <w:tcW w:type="dxa" w:w="1728"/>
          </w:tcPr>
          <w:p>
            <w:r>
              <w:t>85,00</w:t>
            </w:r>
          </w:p>
        </w:tc>
        <w:tc>
          <w:tcPr>
            <w:tcW w:type="dxa" w:w="1728"/>
          </w:tcPr>
          <w:p>
            <w:r>
              <w:t>2.720,00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Sicherheits- und Brandschutz-Reauditierung gemaess GB 50016-2014</w:t>
            </w:r>
          </w:p>
        </w:tc>
        <w:tc>
          <w:tcPr>
            <w:tcW w:type="dxa" w:w="1728"/>
          </w:tcPr>
          <w:p>
            <w:r>
              <w:t>48 h</w:t>
            </w:r>
          </w:p>
        </w:tc>
        <w:tc>
          <w:tcPr>
            <w:tcW w:type="dxa" w:w="1728"/>
          </w:tcPr>
          <w:p>
            <w:r>
              <w:t>85,00</w:t>
            </w:r>
          </w:p>
        </w:tc>
        <w:tc>
          <w:tcPr>
            <w:tcW w:type="dxa" w:w="1728"/>
          </w:tcPr>
          <w:p>
            <w:r>
              <w:t>4.080,00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Local-Liaison BMW Brilliance / CATL bzgl. Werks-Erweiterung</w:t>
            </w:r>
          </w:p>
        </w:tc>
        <w:tc>
          <w:tcPr>
            <w:tcW w:type="dxa" w:w="1728"/>
          </w:tcPr>
          <w:p>
            <w:r>
              <w:t>65 h</w:t>
            </w:r>
          </w:p>
        </w:tc>
        <w:tc>
          <w:tcPr>
            <w:tcW w:type="dxa" w:w="1728"/>
          </w:tcPr>
          <w:p>
            <w:r>
              <w:t>85,00</w:t>
            </w:r>
          </w:p>
        </w:tc>
        <w:tc>
          <w:tcPr>
            <w:tcW w:type="dxa" w:w="1728"/>
          </w:tcPr>
          <w:p>
            <w:r>
              <w:t>5.525,00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(Selbstkosten)</w:t>
            </w:r>
          </w:p>
        </w:tc>
        <w:tc>
          <w:tcPr>
            <w:tcW w:type="dxa" w:w="1728"/>
          </w:tcPr>
          <w:p>
            <w:r>
              <w:t>350 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29.750,00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Cost-Plus Aufschlag 5 % (Mark-up gemaess TPLF)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1.487,50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NETTO (EUR)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31.237,50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Reverse-Charge gemaess § 13b UStG (Konzern-Empfaengerin RHO)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kein UStAusweis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ENDSUMME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31.237,50</w:t>
            </w:r>
          </w:p>
        </w:tc>
      </w:tr>
    </w:tbl>
    <w:p>
      <w:pPr>
        <w:pStyle w:val="Heading3"/>
      </w:pPr>
      <w:r>
        <w:t>Zahlungs- und Bankverbindung</w:t>
      </w:r>
    </w:p>
    <w:p>
      <w:r>
        <w:t>Zahlungsziel: 30 Tage netto, faellig 30. Oktober 2022. Bankverbindung Brennhagen (Shanghai) Co. Ltd.: Bank of China, Shanghai Minhang Branch, IBAN-Aequivalent (CN): CNAPS 1043 0001 234 5678 90, SWIFT BKCHCNBJ. Waehrungs-Convention: Rechnung in EUR; Buchung bei RCN in CNY zum EZB-Mittelkurs am Rechnungstag (1 EUR = 7,1245 CNY am 30.09.2022).</w:t>
      </w:r>
    </w:p>
    <w:p>
      <w:r>
        <w:t>Klaerung Treasury: Markus Pflanzer (Group Treasurer). Verbuchung RHO: Konto 6320 »Konzern-interne Dienstleistungsaufwendungen«.</w:t>
      </w:r>
    </w:p>
    <w:p>
      <w:pPr>
        <w:pStyle w:val="Heading3"/>
      </w:pPr>
      <w:r>
        <w:t>Compliance und Dokumentationsverweise</w:t>
      </w:r>
    </w:p>
    <w:p>
      <w:pPr>
        <w:pStyle w:val="ListBullet"/>
      </w:pPr>
      <w:r>
        <w:t>Transfer-Pricing-Konformitaet: Methode Transactional Net Margin Method (TNMM), Cost-Plus 5 % entspricht Marktbenchmark BvD Amadeus Datenbank (Range 4,1 % - 6,8 %).</w:t>
      </w:r>
    </w:p>
    <w:p>
      <w:pPr>
        <w:pStyle w:val="ListBullet"/>
      </w:pPr>
      <w:r>
        <w:t>Local-File RCN 2022 dokumentiert die Verrechnungsleistung (Funktions- und Risikoanalyse).</w:t>
      </w:r>
    </w:p>
    <w:p>
      <w:pPr>
        <w:pStyle w:val="ListBullet"/>
      </w:pPr>
      <w:r>
        <w:t>Master-File Konzern 2022 (KPMG / Dr. Heike Berger Group Tax) verweist auf diese Verrechnungssystematik.</w:t>
      </w:r>
    </w:p>
    <w:p>
      <w:pPr>
        <w:pStyle w:val="ListBullet"/>
      </w:pPr>
      <w:r>
        <w:t>Verstaendigungs-Verfahren CN-DE: keines anhaengig; Vorab-Verstaendigungs-Vereinbarungen (APA) zur Zeit nicht geplant.</w:t>
      </w:r>
    </w:p>
    <w:p>
      <w:pPr>
        <w:pStyle w:val="ListBullet"/>
      </w:pPr>
      <w:r>
        <w:t>Pruefungssicherheit: Rechnungs- und Leistungsbelege im SAP Concur / Coupa Archiv hinterlegt; Aufbewahrungsfrist 10 Jahre.</w:t>
      </w:r>
    </w:p>
    <w:p>
      <w:pPr>
        <w:pStyle w:val="ListBullet"/>
      </w:pPr>
      <w:r>
        <w:t>Freigabe-Workflow: Local CFO RCN (Liang Wei) -&gt; Group Tax (Dr. H. Berger) -&gt; RHO Geschaeftsfuehrung -&gt; Verbuchung.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