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Verkehrswertgutachten / Immobilienbewertung 2023 – REA Hauptsitz Stuttgart-Vaihingen</w:t>
      </w:r>
    </w:p>
    <w:p>
      <w:pPr>
        <w:jc w:val="center"/>
      </w:pPr>
      <w:r>
        <w:t>Stichtag: 31. Dezember 2023; Gutachter: Dr. Helmut Schneider, oeffentlich bestellt und vereidigt IHK Stuttgart, Gutachten vom 14. November 2023</w:t>
      </w:r>
    </w:p>
    <w:p/>
    <w:p>
      <w:pPr>
        <w:pStyle w:val="Heading3"/>
      </w:pPr>
      <w:r>
        <w:t>Anlass und Gutachter-Bestellung</w:t>
      </w:r>
    </w:p>
    <w:p>
      <w:r>
        <w:t>Im Rahmen der Konzern-IFRS-Bilanzierung 2023 (IAS 16, IAS 40) sowie der Investorenkommunikation der Brennhagen Elektronik AG (Prime Standard, ISIN DE000RHGRP12) wurde fuer das Objekt »REA Hauptsitz Stuttgart-Vaihingen« ein Verkehrswertgutachten in Auftrag gegeben. Auftraggeber: Brennhagen Holding GmbH (RHO), vertreten durch CFO Laura Bauer. Sachverstaendiger: Dr. Helmut Schneider, oeffentlich bestellt und vereidigt IHK Stuttgart, Gutachten vom 14. November 2023. Methodik: kombiniertes Sachwert- und Ertragswertverfahren gemaess ImmoWertV 2021 bzw. Investment Property Standard des Royal Institution of Chartered Surveyors (RICS Red Book).</w:t>
      </w:r>
    </w:p>
    <w:p>
      <w:pPr>
        <w:pStyle w:val="Heading3"/>
      </w:pPr>
      <w:r>
        <w:t>Objektbeschreibung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Lage</w:t>
            </w:r>
          </w:p>
        </w:tc>
        <w:tc>
          <w:tcPr>
            <w:tcW w:type="dxa" w:w="4320"/>
          </w:tcPr>
          <w:p>
            <w:r>
              <w:t>Vaihinger Strasse 120, 70567 Stuttgart-Vaihingen</w:t>
            </w:r>
          </w:p>
        </w:tc>
      </w:tr>
      <w:tr>
        <w:tc>
          <w:tcPr>
            <w:tcW w:type="dxa" w:w="4320"/>
          </w:tcPr>
          <w:p>
            <w:r>
              <w:t>Nutzungsart</w:t>
            </w:r>
          </w:p>
        </w:tc>
        <w:tc>
          <w:tcPr>
            <w:tcW w:type="dxa" w:w="4320"/>
          </w:tcPr>
          <w:p>
            <w:r>
              <w:t>Konzernverwaltung, Vorstand, ADAS-Testzentrum (V4D-Radarfusion), Showroom, Kantine</w:t>
            </w:r>
          </w:p>
        </w:tc>
      </w:tr>
      <w:tr>
        <w:tc>
          <w:tcPr>
            <w:tcW w:type="dxa" w:w="4320"/>
          </w:tcPr>
          <w:p>
            <w:r>
              <w:t>Eigentums-/Nutzungsverhaeltnis</w:t>
            </w:r>
          </w:p>
        </w:tc>
        <w:tc>
          <w:tcPr>
            <w:tcW w:type="dxa" w:w="4320"/>
          </w:tcPr>
          <w:p>
            <w:r>
              <w:t>Eigentum REA</w:t>
            </w:r>
          </w:p>
        </w:tc>
      </w:tr>
      <w:tr>
        <w:tc>
          <w:tcPr>
            <w:tcW w:type="dxa" w:w="4320"/>
          </w:tcPr>
          <w:p>
            <w:r>
              <w:t>Flaeche</w:t>
            </w:r>
          </w:p>
        </w:tc>
        <w:tc>
          <w:tcPr>
            <w:tcW w:type="dxa" w:w="4320"/>
          </w:tcPr>
          <w:p>
            <w:r>
              <w:t>14.800 m² bebaut auf 28.000 m² Grundstueck</w:t>
            </w:r>
          </w:p>
        </w:tc>
      </w:tr>
      <w:tr>
        <w:tc>
          <w:tcPr>
            <w:tcW w:type="dxa" w:w="4320"/>
          </w:tcPr>
          <w:p>
            <w:r>
              <w:t>Grundbuch / Kataster</w:t>
            </w:r>
          </w:p>
        </w:tc>
        <w:tc>
          <w:tcPr>
            <w:tcW w:type="dxa" w:w="4320"/>
          </w:tcPr>
          <w:p>
            <w:r>
              <w:t>Amtsgericht Stuttgart-Vaihingen, Grundbuch von Vaihingen, Blatt 28741, Flur 17, Flurstuecke 412/3 und 412/4</w:t>
            </w:r>
          </w:p>
        </w:tc>
      </w:tr>
      <w:tr>
        <w:tc>
          <w:tcPr>
            <w:tcW w:type="dxa" w:w="4320"/>
          </w:tcPr>
          <w:p>
            <w:r>
              <w:t>Verantwortliche Werksleitung</w:t>
            </w:r>
          </w:p>
        </w:tc>
        <w:tc>
          <w:tcPr>
            <w:tcW w:type="dxa" w:w="4320"/>
          </w:tcPr>
          <w:p>
            <w:r>
              <w:t>Sabine Hartlieb (Real Estate Officer REA) / Dr. Wolfgang Hertz (Head of Real Estate, Drees &amp; Sommer)</w:t>
            </w:r>
          </w:p>
        </w:tc>
      </w:tr>
      <w:tr>
        <w:tc>
          <w:tcPr>
            <w:tcW w:type="dxa" w:w="4320"/>
          </w:tcPr>
          <w:p>
            <w:r>
              <w:t>Energiestandard (GEG 2024)</w:t>
            </w:r>
          </w:p>
        </w:tc>
        <w:tc>
          <w:tcPr>
            <w:tcW w:type="dxa" w:w="4320"/>
          </w:tcPr>
          <w:p>
            <w:r>
              <w:t>Erdgas-BHKW (Stadtwerke Stuttgart) mit PV-Aufdach 720 kWp (seit 2023), End-Energiebedarf 78 kWh/(m²·a), Effizienzklasse B (GEG 2024)</w:t>
            </w:r>
          </w:p>
        </w:tc>
      </w:tr>
      <w:tr>
        <w:tc>
          <w:tcPr>
            <w:tcW w:type="dxa" w:w="4320"/>
          </w:tcPr>
          <w:p>
            <w:r>
              <w:t>Brandschutz</w:t>
            </w:r>
          </w:p>
        </w:tc>
        <w:tc>
          <w:tcPr>
            <w:tcW w:type="dxa" w:w="4320"/>
          </w:tcPr>
          <w:p>
            <w:r>
              <w:t>Brandschutzkonzept nach LBO BW, sachverstaendige Pruefung Dr.-Ing. Manfred Stoll (Heilbronn), Klasse 4 (Verwaltung). Wartung BMA durch Bosch Sicherheitssysteme GmbH.</w:t>
            </w:r>
          </w:p>
        </w:tc>
      </w:tr>
    </w:tbl>
    <w:p>
      <w:pPr>
        <w:pStyle w:val="Heading3"/>
      </w:pPr>
      <w:r>
        <w:t>Bewertungsverfahren</w:t>
      </w:r>
    </w:p>
    <w:p>
      <w:pPr>
        <w:pStyle w:val="Heading4"/>
      </w:pPr>
      <w:r>
        <w:t>§ 1 Sachwertverfahren</w:t>
      </w:r>
    </w:p>
    <w:p>
      <w:r>
        <w:rPr>
          <w:b/>
        </w:rPr>
        <w:t xml:space="preserve">(1) </w:t>
      </w:r>
      <w:r>
        <w:t>Bodenrichtwert Stuttgart 2023: Heranziehung des amtlichen Bodenrichtwertes des Gutachterausschusses Stuttgart (Daten der BORIS-BW / BORIS-BY bzw. lokales Aequivalent).</w:t>
      </w:r>
    </w:p>
    <w:p>
      <w:r>
        <w:rPr>
          <w:b/>
        </w:rPr>
        <w:t xml:space="preserve">(2) </w:t>
      </w:r>
      <w:r>
        <w:t>Gebaeudeherstellungswert (Normalherstellungskosten NHK 2010 fortgeschrieben mit Baupreisindex 2023, Statistisches Bundesamt): Abschlag fuer Altersminderung (Modifizierte Ross-Methode) bei einer wirtschaftlichen Restnutzungsdauer von 40 Jahren.</w:t>
      </w:r>
    </w:p>
    <w:p>
      <w:r>
        <w:rPr>
          <w:b/>
        </w:rPr>
        <w:t xml:space="preserve">(3) </w:t>
      </w:r>
      <w:r>
        <w:t>Aussenanlagen und Nebenbauten werden mit Pauschalansaetzen aus ImmoWertV Anlage 2 beruecksichtigt.</w:t>
      </w:r>
    </w:p>
    <w:p>
      <w:pPr>
        <w:pStyle w:val="Heading4"/>
      </w:pPr>
      <w:r>
        <w:t>§ 2 Ertragswertverfahren</w:t>
      </w:r>
    </w:p>
    <w:p>
      <w:r>
        <w:rPr>
          <w:b/>
        </w:rPr>
        <w:t xml:space="preserve">(1) </w:t>
      </w:r>
      <w:r>
        <w:t>Roh-Ertraege: Ableitung der nachhaltig erzielbaren Jahresmiete aus Marktbericht JLL / CBRE / Colliers (je nach Region). Vergleichsmiete Stuttgart-Vaihingen Industrie/Office: 12,80 EUR/m²/Monat brutto.</w:t>
      </w:r>
    </w:p>
    <w:p>
      <w:r>
        <w:rPr>
          <w:b/>
        </w:rPr>
        <w:t xml:space="preserve">(2) </w:t>
      </w:r>
      <w:r>
        <w:t>Bewirtschaftungskosten 18 % der Roh-Ertraege (Verwaltung, Instandhaltung, Mietausfallwagnis, Modernisierungsreserve).</w:t>
      </w:r>
    </w:p>
    <w:p>
      <w:r>
        <w:rPr>
          <w:b/>
        </w:rPr>
        <w:t xml:space="preserve">(3) </w:t>
      </w:r>
      <w:r>
        <w:t>Liegenschaftszinssatz: 4,2 % (Industrie/Office Stuttgart, BORIS-BW 2023); Restnutzungsdauer 40 Jahre.</w:t>
      </w:r>
    </w:p>
    <w:p>
      <w:pPr>
        <w:pStyle w:val="Heading4"/>
      </w:pPr>
      <w:r>
        <w:t>§ 3 Gewichtung und Marktanpassung</w:t>
      </w:r>
    </w:p>
    <w:p>
      <w:r>
        <w:rPr>
          <w:b/>
        </w:rPr>
        <w:t xml:space="preserve">(1) </w:t>
      </w:r>
      <w:r>
        <w:t>Gewichtung Sachwert/Ertragswert: 40 / 60 (Stuttgart ist gemischter Industrie- und Office-Markt mit ausreichender Mietnachfrage).</w:t>
      </w:r>
    </w:p>
    <w:p>
      <w:r>
        <w:rPr>
          <w:b/>
        </w:rPr>
        <w:t xml:space="preserve">(2) </w:t>
      </w:r>
      <w:r>
        <w:t>Marktanpassung gemaess Marktanpassungsfaktor (MAF) Gutachterausschuss Stuttgart 2023.</w:t>
      </w:r>
    </w:p>
    <w:p>
      <w:r>
        <w:rPr>
          <w:b/>
        </w:rPr>
        <w:t xml:space="preserve">(3) </w:t>
      </w:r>
      <w:r>
        <w:t>Beruecksichtigung von Sonderwerten: PV-Eignung Dach (+0,5 Mio. EUR), Naehe Hauptverkehrsachsen (+ Anpassung), Altlastenrisiko (Boden-Gutachten unauffaellig; kein Abschlag).</w:t>
      </w:r>
    </w:p>
    <w:p>
      <w:pPr>
        <w:pStyle w:val="Heading3"/>
      </w:pPr>
      <w:r>
        <w:t>Wertermittlung</w:t>
      </w:r>
    </w:p>
    <w:p>
      <w:r>
        <w:t>Festgestellter Verkehrswert (Marktwert) zum Stichtag 31.12.2023: **18,4 Mio. EUR**. Buchwert in IFRS-Konzernbilanz 2023: ca. 80 % des Verkehrswertes (Anschaffungs- und Herstellungskosten abzgl. linearer Abschreibung, IAS 16). Stille Reserven gegenueber Verkehrswert werden im Anhang erlaeutert.</w:t>
      </w:r>
    </w:p>
    <w:p>
      <w:pPr>
        <w:pStyle w:val="Heading3"/>
      </w:pPr>
      <w:r>
        <w:t>Annahmen, Vorbehalte und Methodische Grenzen</w:t>
      </w:r>
    </w:p>
    <w:p>
      <w:pPr>
        <w:pStyle w:val="ListBullet"/>
      </w:pPr>
      <w:r>
        <w:t>Die Bewertung beruht auf den am Stichtag verfuegbaren Daten; spaetere Ereignisse (Krieg, Pandemie, drastische Energiepreissteigerungen) wurden nur in Form anerkannter Marktindizes beruecksichtigt.</w:t>
      </w:r>
    </w:p>
    <w:p>
      <w:pPr>
        <w:pStyle w:val="ListBullet"/>
      </w:pPr>
      <w:r>
        <w:t>Der Gutachter hat das Objekt am 25. Oktober 2023 (Stuttgart/Heilbronn) bzw. zwischen Q3 und Q4 2023 (Auslandsstandorte ueber lokale Partnergutachter) besichtigt.</w:t>
      </w:r>
    </w:p>
    <w:p>
      <w:pPr>
        <w:pStyle w:val="ListBullet"/>
      </w:pPr>
      <w:r>
        <w:t>Boden-/Altlastenrisiken wurden anhand vorgelegter Bodengutachten gewuerdigt; eigene Probennahmen nicht durchgefuehrt.</w:t>
      </w:r>
    </w:p>
    <w:p>
      <w:pPr>
        <w:pStyle w:val="ListBullet"/>
      </w:pPr>
      <w:r>
        <w:t>Steuerliche Auswirkungen (Grunderwerbsteuer, Umsatzsteuer-Option) sind nicht Gegenstand des Gutachtens.</w:t>
      </w:r>
    </w:p>
    <w:p>
      <w:pPr>
        <w:pStyle w:val="ListBullet"/>
      </w:pPr>
      <w:r>
        <w:t>Das Gutachten ist ausschliesslich fuer interne Bilanzierung und Investor-Kommunikation der Brennhagen Elektronik AG bestimmt; eine Weitergabe an Dritte bedarf der schriftlichen Zustimmung des Gutachters und des Auftraggebers.</w:t>
      </w:r>
    </w:p>
    <w:p>
      <w:pPr>
        <w:pStyle w:val="Heading3"/>
      </w:pPr>
      <w:r>
        <w:t>Unterschrift Sachverstaendiger</w:t>
      </w:r>
    </w:p>
    <w:p>
      <w:r>
        <w:t>Ort, Datum: Stuttgart, den 14. November 2023</w:t>
      </w:r>
    </w:p>
    <w:p>
      <w:r>
        <w:t>_________________________            _________________________</w:t>
        <w:br/>
        <w:t>Dr. Helmut Schneider                          Laura Bauer</w:t>
        <w:br/>
        <w:t>Sachverstaendiger (oeff. best. u. vereidigt)                          CFO</w:t>
        <w:br/>
        <w:t>IHK Stuttgart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