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Verkehrswertgutachten / Immobilienbewertung 2023 – RPL Werk Katowice</w:t>
      </w:r>
    </w:p>
    <w:p>
      <w:pPr>
        <w:jc w:val="center"/>
      </w:pPr>
      <w:r>
        <w:t>Stichtag: 31. Dezember 2023; Gutachter: Mietwertgutachten Cushman &amp; Wakefield Polska Sp. z o.o., Q1/2023: 6,50 EUR/m²/Monat marktueblich (KSSE)</w:t>
      </w:r>
    </w:p>
    <w:p/>
    <w:p>
      <w:pPr>
        <w:pStyle w:val="Heading3"/>
      </w:pPr>
      <w:r>
        <w:t>Anlass und Gutachter-Bestellung</w:t>
      </w:r>
    </w:p>
    <w:p>
      <w:r>
        <w:t>Im Rahmen der Konzern-IFRS-Bilanzierung 2023 (IAS 16, IAS 40) sowie der Investorenkommunikation der Brennhagen Elektronik AG (Prime Standard, ISIN DE000RHGRP12) wurde fuer das Objekt »RPL Werk Katowice« ein Verkehrswertgutachten in Auftrag gegeben. Auftraggeber: Brennhagen Holding GmbH (RHO), vertreten durch CFO Laura Bauer. Sachverstaendiger: Mietwertgutachten Cushman &amp; Wakefield Polska Sp. z o.o., Q1/2023: 6,50 EUR/m²/Monat marktueblich (KSSE). Methodik: kombiniertes Sachwert- und Ertragswertverfahren gemaess ImmoWertV 2021 bzw. Investment Property Standard des Royal Institution of Chartered Surveyors (RICS Red Book).</w:t>
      </w:r>
    </w:p>
    <w:p>
      <w:pPr>
        <w:pStyle w:val="Heading3"/>
      </w:pPr>
      <w:r>
        <w:t>Objektbeschreibung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Lage</w:t>
            </w:r>
          </w:p>
        </w:tc>
        <w:tc>
          <w:tcPr>
            <w:tcW w:type="dxa" w:w="4320"/>
          </w:tcPr>
          <w:p>
            <w:r>
              <w:t>KSSE Strefa Aktywnosci Gospodarczej, ul. Wegierska 18, 40-203 Katowice (Polen)</w:t>
            </w:r>
          </w:p>
        </w:tc>
      </w:tr>
      <w:tr>
        <w:tc>
          <w:tcPr>
            <w:tcW w:type="dxa" w:w="4320"/>
          </w:tcPr>
          <w:p>
            <w:r>
              <w:t>Nutzungsart</w:t>
            </w:r>
          </w:p>
        </w:tc>
        <w:tc>
          <w:tcPr>
            <w:tcW w:type="dxa" w:w="4320"/>
          </w:tcPr>
          <w:p>
            <w:r>
              <w:t>EMS / SMD-Bestueckung, Loetung, Konfektionierung; 960 Mitarbeiter</w:t>
            </w:r>
          </w:p>
        </w:tc>
      </w:tr>
      <w:tr>
        <w:tc>
          <w:tcPr>
            <w:tcW w:type="dxa" w:w="4320"/>
          </w:tcPr>
          <w:p>
            <w:r>
              <w:t>Eigentums-/Nutzungsverhaeltnis</w:t>
            </w:r>
          </w:p>
        </w:tc>
        <w:tc>
          <w:tcPr>
            <w:tcW w:type="dxa" w:w="4320"/>
          </w:tcPr>
          <w:p>
            <w:r>
              <w:t>Miete (Katowicka Specjalna Strefa Ekonomiczna S.A. – KSSE-Sonderwirtschaftszone)</w:t>
            </w:r>
          </w:p>
        </w:tc>
      </w:tr>
      <w:tr>
        <w:tc>
          <w:tcPr>
            <w:tcW w:type="dxa" w:w="4320"/>
          </w:tcPr>
          <w:p>
            <w:r>
              <w:t>Flaeche</w:t>
            </w:r>
          </w:p>
        </w:tc>
        <w:tc>
          <w:tcPr>
            <w:tcW w:type="dxa" w:w="4320"/>
          </w:tcPr>
          <w:p>
            <w:r>
              <w:t>18.500 m² Produktions-/Lagerhalle + 1.200 m² Buero</w:t>
            </w:r>
          </w:p>
        </w:tc>
      </w:tr>
      <w:tr>
        <w:tc>
          <w:tcPr>
            <w:tcW w:type="dxa" w:w="4320"/>
          </w:tcPr>
          <w:p>
            <w:r>
              <w:t>Grundbuch / Kataster</w:t>
            </w:r>
          </w:p>
        </w:tc>
        <w:tc>
          <w:tcPr>
            <w:tcW w:type="dxa" w:w="4320"/>
          </w:tcPr>
          <w:p>
            <w:r>
              <w:t>Ksiega Wieczysta KA1K/00187423/2, Sad Rejonowy Katowice-Wschod</w:t>
            </w:r>
          </w:p>
        </w:tc>
      </w:tr>
      <w:tr>
        <w:tc>
          <w:tcPr>
            <w:tcW w:type="dxa" w:w="4320"/>
          </w:tcPr>
          <w:p>
            <w:r>
              <w:t>Verantwortliche Werksleitung</w:t>
            </w:r>
          </w:p>
        </w:tc>
        <w:tc>
          <w:tcPr>
            <w:tcW w:type="dxa" w:w="4320"/>
          </w:tcPr>
          <w:p>
            <w:r>
              <w:t>Marek Wojciechowski (Werkleiter RPL)</w:t>
            </w:r>
          </w:p>
        </w:tc>
      </w:tr>
      <w:tr>
        <w:tc>
          <w:tcPr>
            <w:tcW w:type="dxa" w:w="4320"/>
          </w:tcPr>
          <w:p>
            <w:r>
              <w:t>Energiestandard (GEG 2024)</w:t>
            </w:r>
          </w:p>
        </w:tc>
        <w:tc>
          <w:tcPr>
            <w:tcW w:type="dxa" w:w="4320"/>
          </w:tcPr>
          <w:p>
            <w:r>
              <w:t>Stromversorgung Tauron Polska Energia S.A.; PV-Aufdach 820 kWp in Planung 2024 (Vertrag mit ZAE Solar Sp. z o.o.). End-Energiebedarf 108 kWh/(m²·a).</w:t>
            </w:r>
          </w:p>
        </w:tc>
      </w:tr>
      <w:tr>
        <w:tc>
          <w:tcPr>
            <w:tcW w:type="dxa" w:w="4320"/>
          </w:tcPr>
          <w:p>
            <w:r>
              <w:t>Brandschutz</w:t>
            </w:r>
          </w:p>
        </w:tc>
        <w:tc>
          <w:tcPr>
            <w:tcW w:type="dxa" w:w="4320"/>
          </w:tcPr>
          <w:p>
            <w:r>
              <w:t>Brandschutzkonzept gemaess polnischem Bauordnungsrecht (Prawo budowlane); Wartung Tyco/Johnson Controls Polska.</w:t>
            </w:r>
          </w:p>
        </w:tc>
      </w:tr>
    </w:tbl>
    <w:p>
      <w:pPr>
        <w:pStyle w:val="Heading3"/>
      </w:pPr>
      <w:r>
        <w:t>Bewertungsverfahren</w:t>
      </w:r>
    </w:p>
    <w:p>
      <w:pPr>
        <w:pStyle w:val="Heading4"/>
      </w:pPr>
      <w:r>
        <w:t>§ 1 Sachwertverfahren</w:t>
      </w:r>
    </w:p>
    <w:p>
      <w:r>
        <w:rPr>
          <w:b/>
        </w:rPr>
        <w:t xml:space="preserve">(1) </w:t>
      </w:r>
      <w:r>
        <w:t>Bodenrichtwert Katowice 2023: Heranziehung des amtlichen Bodenrichtwertes des Gutachterausschusses Katowice (Daten der BORIS-BW / BORIS-BY bzw. lokales Aequivalent).</w:t>
      </w:r>
    </w:p>
    <w:p>
      <w:r>
        <w:rPr>
          <w:b/>
        </w:rPr>
        <w:t xml:space="preserve">(2) </w:t>
      </w:r>
      <w:r>
        <w:t>Gebaeudeherstellungswert (Normalherstellungskosten NHK 2010 fortgeschrieben mit Baupreisindex 2023, Statistisches Bundesamt): Abschlag fuer Altersminderung (Modifizierte Ross-Methode) bei einer wirtschaftlichen Restnutzungsdauer von 40 Jahren.</w:t>
      </w:r>
    </w:p>
    <w:p>
      <w:r>
        <w:rPr>
          <w:b/>
        </w:rPr>
        <w:t xml:space="preserve">(3) </w:t>
      </w:r>
      <w:r>
        <w:t>Aussenanlagen und Nebenbauten werden mit Pauschalansaetzen aus ImmoWertV Anlage 2 beruecksichtigt.</w:t>
      </w:r>
    </w:p>
    <w:p>
      <w:pPr>
        <w:pStyle w:val="Heading4"/>
      </w:pPr>
      <w:r>
        <w:t>§ 2 Ertragswertverfahren</w:t>
      </w:r>
    </w:p>
    <w:p>
      <w:r>
        <w:rPr>
          <w:b/>
        </w:rPr>
        <w:t xml:space="preserve">(1) </w:t>
      </w:r>
      <w:r>
        <w:t>Roh-Ertraege: Ableitung der nachhaltig erzielbaren Jahresmiete aus Marktbericht JLL / CBRE / Colliers (je nach Region). Vergleichsmiete Katowice laut Standort-Marktbericht: 6,30 EUR/m²/Monat Kaltmiete + 1,90 EUR/m²/Monat Nebenkosten</w:t>
      </w:r>
    </w:p>
    <w:p>
      <w:r>
        <w:rPr>
          <w:b/>
        </w:rPr>
        <w:t xml:space="preserve">(2) </w:t>
      </w:r>
      <w:r>
        <w:t>Bewirtschaftungskosten 18 % der Roh-Ertraege (Verwaltung, Instandhaltung, Mietausfallwagnis, Modernisierungsreserve).</w:t>
      </w:r>
    </w:p>
    <w:p>
      <w:r>
        <w:rPr>
          <w:b/>
        </w:rPr>
        <w:t xml:space="preserve">(3) </w:t>
      </w:r>
      <w:r>
        <w:t>Liegenschaftszinssatz: 5,8 % (Industrie/Logistik je nach Region, Marktbericht 2023); Restnutzungsdauer 40 Jahre.</w:t>
      </w:r>
    </w:p>
    <w:p>
      <w:pPr>
        <w:pStyle w:val="Heading4"/>
      </w:pPr>
      <w:r>
        <w:t>§ 3 Gewichtung und Marktanpassung</w:t>
      </w:r>
    </w:p>
    <w:p>
      <w:r>
        <w:rPr>
          <w:b/>
        </w:rPr>
        <w:t xml:space="preserve">(1) </w:t>
      </w:r>
      <w:r>
        <w:t>Gewichtung Sachwert/Ertragswert: 40 / 60 (Katowice ist gemischter Industrie- und Office-Markt mit ausreichender Mietnachfrage).</w:t>
      </w:r>
    </w:p>
    <w:p>
      <w:r>
        <w:rPr>
          <w:b/>
        </w:rPr>
        <w:t xml:space="preserve">(2) </w:t>
      </w:r>
      <w:r>
        <w:t>Marktanpassung gemaess Marktanpassungsfaktor (MAF) Gutachterausschuss Katowice 2023.</w:t>
      </w:r>
    </w:p>
    <w:p>
      <w:r>
        <w:rPr>
          <w:b/>
        </w:rPr>
        <w:t xml:space="preserve">(3) </w:t>
      </w:r>
      <w:r>
        <w:t>Beruecksichtigung von Sonderwerten: PV-Eignung Dach (+0,5 Mio. EUR), Naehe Hauptverkehrsachsen (+ Anpassung), Altlastenrisiko (Boden-Gutachten unauffaellig; kein Abschlag).</w:t>
      </w:r>
    </w:p>
    <w:p>
      <w:pPr>
        <w:pStyle w:val="Heading3"/>
      </w:pPr>
      <w:r>
        <w:t>Wertermittlung</w:t>
      </w:r>
    </w:p>
    <w:p>
      <w:r>
        <w:t>Festgestellter Verkehrswert (Marktwert) zum Stichtag 31.12.2023: **Buchwert Mietsonderausstattung 4,8 Mio. EUR (SMD-Linien + Reinraum)**. Da das Objekt im Mietverhaeltnis steht, wird ein Marktmietwert ermittelt. Bilanzielle Beruecksichtigung erfolgt ueber Right-of-Use-Asset (IFRS 16) zzgl. Mietsonderausstattung.</w:t>
      </w:r>
    </w:p>
    <w:p>
      <w:pPr>
        <w:pStyle w:val="Heading3"/>
      </w:pPr>
      <w:r>
        <w:t>Annahmen, Vorbehalte und Methodische Grenzen</w:t>
      </w:r>
    </w:p>
    <w:p>
      <w:pPr>
        <w:pStyle w:val="ListBullet"/>
      </w:pPr>
      <w:r>
        <w:t>Die Bewertung beruht auf den am Stichtag verfuegbaren Daten; spaetere Ereignisse (Krieg, Pandemie, drastische Energiepreissteigerungen) wurden nur in Form anerkannter Marktindizes beruecksichtigt.</w:t>
      </w:r>
    </w:p>
    <w:p>
      <w:pPr>
        <w:pStyle w:val="ListBullet"/>
      </w:pPr>
      <w:r>
        <w:t>Der Gutachter hat das Objekt am 25. Oktober 2023 (Stuttgart/Heilbronn) bzw. zwischen Q3 und Q4 2023 (Auslandsstandorte ueber lokale Partnergutachter) besichtigt.</w:t>
      </w:r>
    </w:p>
    <w:p>
      <w:pPr>
        <w:pStyle w:val="ListBullet"/>
      </w:pPr>
      <w:r>
        <w:t>Boden-/Altlastenrisiken wurden anhand vorgelegter Bodengutachten gewuerdigt; eigene Probennahmen nicht durchgefuehrt.</w:t>
      </w:r>
    </w:p>
    <w:p>
      <w:pPr>
        <w:pStyle w:val="ListBullet"/>
      </w:pPr>
      <w:r>
        <w:t>Steuerliche Auswirkungen (Grunderwerbsteuer, Umsatzsteuer-Option) sind nicht Gegenstand des Gutachtens.</w:t>
      </w:r>
    </w:p>
    <w:p>
      <w:pPr>
        <w:pStyle w:val="ListBullet"/>
      </w:pPr>
      <w:r>
        <w:t>Das Gutachten ist ausschliesslich fuer interne Bilanzierung und Investor-Kommunikation der Brennhagen Elektronik AG bestimmt; eine Weitergabe an Dritte bedarf der schriftlichen Zustimmung des Gutachters und des Auftraggebers.</w:t>
      </w:r>
    </w:p>
    <w:p>
      <w:pPr>
        <w:pStyle w:val="Heading3"/>
      </w:pPr>
      <w:r>
        <w:t>Unterschrift Sachverstaendiger</w:t>
      </w:r>
    </w:p>
    <w:p>
      <w:r>
        <w:t>Ort, Datum: Katowice, den 14. November 2023</w:t>
      </w:r>
    </w:p>
    <w:p>
      <w:r>
        <w:t>_________________________            _________________________</w:t>
        <w:br/>
        <w:t>Mietwertgutachten Cushman &amp; Wakefield Polska Sp. z o.o.                          Laura Bauer</w:t>
        <w:br/>
        <w:t>Sachverstaendiger (oeff. best. u. vereidigt)                          CFO</w:t>
        <w:br/>
        <w:t>IHK lokal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