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Quarterly Business Review Q2/2023 – Mercedes-Benz / ADAS-V4D</w:t>
      </w:r>
    </w:p>
    <w:p>
      <w:pPr>
        <w:jc w:val="center"/>
      </w:pPr>
      <w:r>
        <w:t>Berichtsperiode 1. April – 30. Juni 2023; Rev. by Stefan Richter (CMO/BD)</w:t>
      </w:r>
    </w:p>
    <w:p/>
    <w:p>
      <w:pPr>
        <w:pStyle w:val="Heading3"/>
      </w:pPr>
      <w:r>
        <w:t>Programm-Status</w:t>
      </w:r>
    </w:p>
    <w:p>
      <w:r>
        <w:t>Programm: ADAS-V4D Radar-Fusion-Steuergeraet Level 2/3 fuer Mercedes-Benz AG (Programm-Code MBZ-ADAS-2024). Status zum 30.6.2023: B-Sample-Freigabe erteilt am 12. Mai 2023; C-Sample-Build im August 2023 vorgesehen; SOP 14. Maerz 2024 (MFA2-Plattform EQE/EQS-Modelljahr 2025).</w:t>
      </w:r>
    </w:p>
    <w:p>
      <w:r>
        <w:t>Projekt-Lead REA: Dr. Petra Hollmann (designierter CTO ab 1.7.2024); operativ Dr. Klaus Kessler (Werkleiter RSG). Hauptansprechpartnerin Mercedes-Benz: Frau Dr. Christine Riemer (Director ADAS Hardware Procurement, Werk Sindelfingen).</w:t>
      </w:r>
    </w:p>
    <w:p>
      <w:pPr>
        <w:pStyle w:val="Heading3"/>
      </w:pPr>
      <w:r>
        <w:t>Standort- und Immobilienbezug</w:t>
      </w:r>
    </w:p>
    <w:p>
      <w:r>
        <w:t>Die Programm-Entwicklung erfolgt vornehmlich im ADAS-Testzentrum am REA-Hauptsitz Stuttgart-Vaihingen (Eigentum REA, 14.800 m² bebaut, Erweiterung Testzentrum +1.800 m² in Bauantragsphase – siehe REA-Bauantrag-Stuttgart-ADAS-Erweiterung-2023). Embedded-Software ASPICE Level 3 wird in RSG Muenchen entwickelt (Lyonel-Feininger-Strasse 28, 4.620 m² Mietflaeche). EMV-Pruefstand erweitert in Q1 2023 (Investitionsvolumen 4,2 Mio. EUR; Foerderung BMWK 'IPCEI ME 2 Microelectronics' 1,1 Mio. EUR).</w:t>
      </w:r>
    </w:p>
    <w:p>
      <w:pPr>
        <w:pStyle w:val="Heading3"/>
      </w:pPr>
      <w:r>
        <w:t>Finanz-Kennzahlen Q2/2023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Kennzahl</w:t>
            </w:r>
          </w:p>
        </w:tc>
        <w:tc>
          <w:tcPr>
            <w:tcW w:type="dxa" w:w="2160"/>
          </w:tcPr>
          <w:p>
            <w:r>
              <w:t>Plan Q2</w:t>
            </w:r>
          </w:p>
        </w:tc>
        <w:tc>
          <w:tcPr>
            <w:tcW w:type="dxa" w:w="2160"/>
          </w:tcPr>
          <w:p>
            <w:r>
              <w:t>Ist Q2</w:t>
            </w:r>
          </w:p>
        </w:tc>
        <w:tc>
          <w:tcPr>
            <w:tcW w:type="dxa" w:w="2160"/>
          </w:tcPr>
          <w:p>
            <w:r>
              <w:t>Abweichung</w:t>
            </w:r>
          </w:p>
        </w:tc>
      </w:tr>
      <w:tr>
        <w:tc>
          <w:tcPr>
            <w:tcW w:type="dxa" w:w="2160"/>
          </w:tcPr>
          <w:p>
            <w:r>
              <w:t>Umsatz ADAS-V4D (NRE+Serie) Mio. EUR</w:t>
            </w:r>
          </w:p>
        </w:tc>
        <w:tc>
          <w:tcPr>
            <w:tcW w:type="dxa" w:w="2160"/>
          </w:tcPr>
          <w:p>
            <w:r>
              <w:t>12,4</w:t>
            </w:r>
          </w:p>
        </w:tc>
        <w:tc>
          <w:tcPr>
            <w:tcW w:type="dxa" w:w="2160"/>
          </w:tcPr>
          <w:p>
            <w:r>
              <w:t>11,8</w:t>
            </w:r>
          </w:p>
        </w:tc>
        <w:tc>
          <w:tcPr>
            <w:tcW w:type="dxa" w:w="2160"/>
          </w:tcPr>
          <w:p>
            <w:r>
              <w:t>-5 %</w:t>
            </w:r>
          </w:p>
        </w:tc>
      </w:tr>
      <w:tr>
        <w:tc>
          <w:tcPr>
            <w:tcW w:type="dxa" w:w="2160"/>
          </w:tcPr>
          <w:p>
            <w:r>
              <w:t>Auftragseingang Mio. EUR (Lifetime)</w:t>
            </w:r>
          </w:p>
        </w:tc>
        <w:tc>
          <w:tcPr>
            <w:tcW w:type="dxa" w:w="2160"/>
          </w:tcPr>
          <w:p>
            <w:r>
              <w:t>240</w:t>
            </w:r>
          </w:p>
        </w:tc>
        <w:tc>
          <w:tcPr>
            <w:tcW w:type="dxa" w:w="2160"/>
          </w:tcPr>
          <w:p>
            <w:r>
              <w:t>278</w:t>
            </w:r>
          </w:p>
        </w:tc>
        <w:tc>
          <w:tcPr>
            <w:tcW w:type="dxa" w:w="2160"/>
          </w:tcPr>
          <w:p>
            <w:r>
              <w:t>+16 %</w:t>
            </w:r>
          </w:p>
        </w:tc>
      </w:tr>
      <w:tr>
        <w:tc>
          <w:tcPr>
            <w:tcW w:type="dxa" w:w="2160"/>
          </w:tcPr>
          <w:p>
            <w:r>
              <w:t>EBIT-Marge Programm-Sicht</w:t>
            </w:r>
          </w:p>
        </w:tc>
        <w:tc>
          <w:tcPr>
            <w:tcW w:type="dxa" w:w="2160"/>
          </w:tcPr>
          <w:p>
            <w:r>
              <w:t>11,5 %</w:t>
            </w:r>
          </w:p>
        </w:tc>
        <w:tc>
          <w:tcPr>
            <w:tcW w:type="dxa" w:w="2160"/>
          </w:tcPr>
          <w:p>
            <w:r>
              <w:t>10,8 %</w:t>
            </w:r>
          </w:p>
        </w:tc>
        <w:tc>
          <w:tcPr>
            <w:tcW w:type="dxa" w:w="2160"/>
          </w:tcPr>
          <w:p>
            <w:r>
              <w:t>-0,7 pp</w:t>
            </w:r>
          </w:p>
        </w:tc>
      </w:tr>
      <w:tr>
        <w:tc>
          <w:tcPr>
            <w:tcW w:type="dxa" w:w="2160"/>
          </w:tcPr>
          <w:p>
            <w:r>
              <w:t>PPM (Pruefmuster B-Sample)</w:t>
            </w:r>
          </w:p>
        </w:tc>
        <w:tc>
          <w:tcPr>
            <w:tcW w:type="dxa" w:w="2160"/>
          </w:tcPr>
          <w:p>
            <w:r>
              <w:t>&lt; 25</w:t>
            </w:r>
          </w:p>
        </w:tc>
        <w:tc>
          <w:tcPr>
            <w:tcW w:type="dxa" w:w="2160"/>
          </w:tcPr>
          <w:p>
            <w:r>
              <w:t>18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  <w:tr>
        <w:tc>
          <w:tcPr>
            <w:tcW w:type="dxa" w:w="2160"/>
          </w:tcPr>
          <w:p>
            <w:r>
              <w:t>Engineering Resources FTE</w:t>
            </w:r>
          </w:p>
        </w:tc>
        <w:tc>
          <w:tcPr>
            <w:tcW w:type="dxa" w:w="2160"/>
          </w:tcPr>
          <w:p>
            <w:r>
              <w:t>78</w:t>
            </w:r>
          </w:p>
        </w:tc>
        <w:tc>
          <w:tcPr>
            <w:tcW w:type="dxa" w:w="2160"/>
          </w:tcPr>
          <w:p>
            <w:r>
              <w:t>84</w:t>
            </w:r>
          </w:p>
        </w:tc>
        <w:tc>
          <w:tcPr>
            <w:tcW w:type="dxa" w:w="2160"/>
          </w:tcPr>
          <w:p>
            <w:r>
              <w:t>+6 FTE</w:t>
            </w:r>
          </w:p>
        </w:tc>
      </w:tr>
      <w:tr>
        <w:tc>
          <w:tcPr>
            <w:tcW w:type="dxa" w:w="2160"/>
          </w:tcPr>
          <w:p>
            <w:r>
              <w:t>Test-/Werkzeug-Investitionen Mio. EUR</w:t>
            </w:r>
          </w:p>
        </w:tc>
        <w:tc>
          <w:tcPr>
            <w:tcW w:type="dxa" w:w="2160"/>
          </w:tcPr>
          <w:p>
            <w:r>
              <w:t>2,0</w:t>
            </w:r>
          </w:p>
        </w:tc>
        <w:tc>
          <w:tcPr>
            <w:tcW w:type="dxa" w:w="2160"/>
          </w:tcPr>
          <w:p>
            <w:r>
              <w:t>2,3</w:t>
            </w:r>
          </w:p>
        </w:tc>
        <w:tc>
          <w:tcPr>
            <w:tcW w:type="dxa" w:w="2160"/>
          </w:tcPr>
          <w:p>
            <w:r>
              <w:t>+15 %</w:t>
            </w:r>
          </w:p>
        </w:tc>
      </w:tr>
    </w:tbl>
    <w:p>
      <w:pPr>
        <w:pStyle w:val="Heading3"/>
      </w:pPr>
      <w:r>
        <w:t>Kritische Themen und Aktionen</w:t>
      </w:r>
    </w:p>
    <w:p>
      <w:pPr>
        <w:pStyle w:val="ListBullet"/>
      </w:pPr>
      <w:r>
        <w:t>DV-Test (Design Verification) Lichtreflex-Empfindlichkeit: 2 Pruefmuster ausserhalb Spezifikation; Root-Cause-Analyse durch Dr. Hollmann; Workaround Antenna-Layout-Patch in C-Sample.</w:t>
      </w:r>
    </w:p>
    <w:p>
      <w:pPr>
        <w:pStyle w:val="ListBullet"/>
      </w:pPr>
      <w:r>
        <w:t>Material-Sourcing TI ADAS-SoC: Verfuegbarkeit ab Q4/2023 wieder normal (Krise 2022 ueberwunden); Alternativlieferant ST Microelectronics (Backup-Design SoP +6 Monate).</w:t>
      </w:r>
    </w:p>
    <w:p>
      <w:pPr>
        <w:pStyle w:val="ListBullet"/>
      </w:pPr>
      <w:r>
        <w:t>Cybersecurity (UN-R 155 / ISO 21434): Audit durch TUEV SUED, Erst-Auditierung 18.-22. September 2023 in Stuttgart und Muenchen; vorbereitende Dokumentation in Bearbeitung.</w:t>
      </w:r>
    </w:p>
    <w:p>
      <w:pPr>
        <w:pStyle w:val="ListBullet"/>
      </w:pPr>
      <w:r>
        <w:t>Tooling-Ausweitung Werkzeugbau REG Heilbronn fuer C-Sample-Spritzguss-Werkzeuge (Investvolumen 1,8 Mio. EUR; Aufstellort Halle 2 Heilbronn).</w:t>
      </w:r>
    </w:p>
    <w:p>
      <w:pPr>
        <w:pStyle w:val="ListBullet"/>
      </w:pPr>
      <w:r>
        <w:t>Bauantrag Erweiterung ADAS-Testzentrum Stuttgart-Vaihingen: Stadt Stuttgart prueft; Genehmigung erwartet Q3/2023.</w:t>
      </w:r>
    </w:p>
    <w:p>
      <w:pPr>
        <w:pStyle w:val="Heading3"/>
      </w:pPr>
      <w:r>
        <w:t>Freigabe</w:t>
      </w:r>
    </w:p>
    <w:p>
      <w:r>
        <w:t>Bericht erstellt durch das ADAS-Programmmanagement; Review und Freigabe durch Stefan Richter (CMO/BD, REA Vorstand). Naechstes QBR Q3/2023 am 17. Oktober 2023 (Stuttgart, Vorstandssitzungsraum) gemeinsam mit Mercedes-Benz Sindelfingen.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