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Gewerblicher Mietvertrag – RSG Werk Muenchen-Schwabing</w:t>
      </w:r>
    </w:p>
    <w:p>
      <w:pPr>
        <w:jc w:val="center"/>
      </w:pPr>
      <w:r>
        <w:t>Mietobjekt: Lyonel-Feininger-Strasse 28, 80807 Muenchen-Schwabing; Laufzeit 1. Januar 2020 bis 31. Dezember 2029</w:t>
      </w:r>
    </w:p>
    <w:p/>
    <w:p>
      <w:pPr>
        <w:pStyle w:val="Heading3"/>
      </w:pPr>
      <w:r>
        <w:t>Vertragsparteien</w:t>
      </w:r>
    </w:p>
    <w:p>
      <w:r>
        <w:t>Vermieter: Allianz Real Estate GmbH, Seidlstrasse 24-24a, 80335 Muenchen, vertreten durch dessen Geschaeftsfuehrung. Mieter: Brennhagen Software GmbH (RSG), Lyonel-Feininger-Strasse 28, 80807 Muenchen, HRB 245612, Amtsgericht Muenchen, vertreten durch den Werkleiter / die Geschaeftsfuehrung. Konzern-Garant fuer saemtliche Verpflichtungen des Mieters ist die Brennhagen Elektronik AG, Vaihinger Strasse 120, 70567 Stuttgart (HRB 726451, Amtsgericht Stuttgart), vertreten durch CFO Laura Bauer. Konzerngarantieerklaerung ist als Anlage 3 zu diesem Vertrag genommen.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Mietgegenstand</w:t>
      </w:r>
    </w:p>
    <w:p>
      <w:r>
        <w:rPr>
          <w:b/>
        </w:rPr>
        <w:t xml:space="preserve">(1) </w:t>
      </w:r>
      <w:r>
        <w:t>Vermietet wird das Objekt »RSG Werk Muenchen-Schwabing« mit der Adresse Lyonel-Feininger-Strasse 28, 80807 Muenchen-Schwabing. Mietflaeche: 4.620 m² Buerogebaeude (3. - 6. OG). Eine Flaechenaufstellung sowie ein Lageplan sind als Anlage 1 zum Vertrag genommen.</w:t>
      </w:r>
    </w:p>
    <w:p>
      <w:r>
        <w:rPr>
          <w:b/>
        </w:rPr>
        <w:t xml:space="preserve">(2) </w:t>
      </w:r>
      <w:r>
        <w:t>Mitvermietet sind: 1 PKW-Tiefgarage / Aussenstellplaetze in marktueblicher Anzahl, Allgemeinflaechen (Treppenhaeuser, Aufzuege), Nebenraeume (Kantine, Sanitaer, Technikraeume) entsprechend Anlage 1, Anschluesse fuer Strom, Wasser, Abwasser, Gas, Fernkommunikation (Glasfaser 10 Gbit/s).</w:t>
      </w:r>
    </w:p>
    <w:p>
      <w:r>
        <w:rPr>
          <w:b/>
        </w:rPr>
        <w:t xml:space="preserve">(3) </w:t>
      </w:r>
      <w:r>
        <w:t>Mietzweck: Software-Entwicklung Embedded / ADAS, ASPICE-Labor, 340 Mitarbeiter.  Eine Nutzungsaenderung bedarf der vorherigen schriftlichen Zustimmung des Vermieters; die Zustimmung darf nicht unbillig verweigert werden, soweit die Nutzung im Rahmen der baurechtlichen Genehmigung bleibt.</w:t>
      </w:r>
    </w:p>
    <w:p>
      <w:pPr>
        <w:pStyle w:val="Heading4"/>
      </w:pPr>
      <w:r>
        <w:t>§ 2 Mietdauer und Kuendigung</w:t>
      </w:r>
    </w:p>
    <w:p>
      <w:r>
        <w:rPr>
          <w:b/>
        </w:rPr>
        <w:t xml:space="preserve">(1) </w:t>
      </w:r>
      <w:r>
        <w:t>Das Mietverhaeltnis beginnt am 1. Januar 2020 und endet am 31. Dezember 2029. Beiden Parteien wird eine Option auf Verlaengerung um zweimal je 5 Jahre eingeraeumt, die jeweils 12 Monate vor Vertragsende durch eingeschriebenen Brief auszuueben ist.</w:t>
      </w:r>
    </w:p>
    <w:p>
      <w:r>
        <w:rPr>
          <w:b/>
        </w:rPr>
        <w:t xml:space="preserve">(2) </w:t>
      </w:r>
      <w:r>
        <w:t>Eine ordentliche Kuendigung waehrend der Festlaufzeit ist ausgeschlossen. Das Recht zur ausserordentlichen Kuendigung aus wichtigem Grund (§ 543 BGB / jeweiliges lokales Aequivalent) bleibt unberuehrt. Sonderkuendigungsrecht des Mieters bei wesentlicher Veraenderung der Konzern-Standortstrategie mit Vorlauffrist von 18 Monaten zum Quartalsende, gegen Zahlung einer pauschalierten Entschaedigung in Hoehe von 6 Monatsmieten.</w:t>
      </w:r>
    </w:p>
    <w:p>
      <w:pPr>
        <w:pStyle w:val="Heading4"/>
      </w:pPr>
      <w:r>
        <w:t>§ 3 Miete und Indexierung</w:t>
      </w:r>
    </w:p>
    <w:p>
      <w:r>
        <w:rPr>
          <w:b/>
        </w:rPr>
        <w:t xml:space="preserve">(1) </w:t>
      </w:r>
      <w:r>
        <w:t>Die Jahresnettomiete betraegt 1.080.000 EUR. monatlich 90.000 EUR. 19.50 EUR/m²/Monat Kaltmiete + 4.80 EUR/m²/Monat Nebenkosten (Vorauszahlung)</w:t>
      </w:r>
    </w:p>
    <w:p>
      <w:r>
        <w:rPr>
          <w:b/>
        </w:rPr>
        <w:t xml:space="preserve">(2) </w:t>
      </w:r>
      <w:r>
        <w:t>Die Miete ist indexiert nach VPI Bayern 2020=100; Schwellenwert 3 %. Anpassung erstmals 12 Monate nach Vertragsbeginn, sodann jaehrlich zum 1. Januar; Anpassungssprung &gt; 3 % erfolgt zu 100 %, dazwischen zu 80 %.</w:t>
      </w:r>
    </w:p>
    <w:p>
      <w:r>
        <w:rPr>
          <w:b/>
        </w:rPr>
        <w:t xml:space="preserve">(3) </w:t>
      </w:r>
      <w:r>
        <w:t>Nebenkosten (Heizung. Warm-/Kaltwasser. Klimatisierung. Hausreinigung. Aufzug. Versicherung. Grundsteuer-Anteil. Sicherheit) werden als Vorauszahlung in Hoehe von 28.800 EUR/Monat erhoben und jaehrlich abgerechnet (siehe Anlage 2 zur Heizkostenverordnung bzw. lokales Aequivalent).</w:t>
      </w:r>
    </w:p>
    <w:p>
      <w:pPr>
        <w:pStyle w:val="Heading4"/>
      </w:pPr>
      <w:r>
        <w:t>§ 4 Kaution und Sicherheiten</w:t>
      </w:r>
    </w:p>
    <w:p>
      <w:r>
        <w:rPr>
          <w:b/>
        </w:rPr>
        <w:t xml:space="preserve">(1) </w:t>
      </w:r>
      <w:r>
        <w:t>Der Mieter leistet eine Mietkaution in Hoehe von 3 Monatsbruttomieten (356.400 EUR). zu erbringen durch Bankbuergschaft der Deutsche Bank AG. Zusaetzlich besteht die o.g. Konzerngarantieerklaerung der Brennhagen Elektronik AG.</w:t>
      </w:r>
    </w:p>
    <w:p>
      <w:r>
        <w:rPr>
          <w:b/>
        </w:rPr>
        <w:t xml:space="preserve">(2) </w:t>
      </w:r>
      <w:r>
        <w:t>Eine Pflichtversicherung (Gebaeudeversicherung Vermieter, Betriebshaftpflicht-/Sach- und Inhaltsversicherung Mieter ueber Allianz Global Corporate &amp; Specialty SE) wird durch beide Parteien gehalten.</w:t>
      </w:r>
    </w:p>
    <w:p>
      <w:pPr>
        <w:pStyle w:val="Heading4"/>
      </w:pPr>
      <w:r>
        <w:t>§ 5 Instandhaltung, Schoenheitsreparaturen und Umbauten</w:t>
      </w:r>
    </w:p>
    <w:p>
      <w:r>
        <w:rPr>
          <w:b/>
        </w:rPr>
        <w:t xml:space="preserve">(1) </w:t>
      </w:r>
      <w:r>
        <w:t>Schoenheitsreparaturen innerhalb der Mietraeume traegt der Mieter; Dach, Fach, tragende Konstruktion, Versorgungsleitungen ab Hausanschluss und Heizungsanlage obliegen dem Vermieter.</w:t>
      </w:r>
    </w:p>
    <w:p>
      <w:r>
        <w:rPr>
          <w:b/>
        </w:rPr>
        <w:t xml:space="preserve">(2) </w:t>
      </w:r>
      <w:r>
        <w:t>Bauliche Umbauten (Innenausbau, Stellung weiterer Maschinen &gt;2 t, Reinraum-Aufbau) beduerfen der vorherigen schriftlichen Zustimmung des Vermieters; Genehmigungsfaehigkeit nach Baurecht ist vom Mieter sicherzustellen.</w:t>
      </w:r>
    </w:p>
    <w:p>
      <w:r>
        <w:rPr>
          <w:b/>
        </w:rPr>
        <w:t xml:space="preserve">(3) </w:t>
      </w:r>
      <w:r>
        <w:t>Mieter ist berechtigt, im Rahmen seines PV-Programms (Konzern-PV-Strategie 2024) auf dem Dach Photovoltaik-Anlagen zu errichten; Auflagen siehe Anlage 4 (Mustervertrag Dach-Pacht/PV).</w:t>
      </w:r>
    </w:p>
    <w:p>
      <w:pPr>
        <w:pStyle w:val="Heading4"/>
      </w:pPr>
      <w:r>
        <w:t>§ 6 Schluss- und Formvorschriften</w:t>
      </w:r>
    </w:p>
    <w:p>
      <w:r>
        <w:rPr>
          <w:b/>
        </w:rPr>
        <w:t xml:space="preserve">(1) </w:t>
      </w:r>
      <w:r>
        <w:t>Aenderungen und Ergaenzungen dieses Vertrages beduerfen der Schriftform. Eine Aufhebung des Schriftformerfordernisses bedarf ebenfalls der Schriftform.</w:t>
      </w:r>
    </w:p>
    <w:p>
      <w:r>
        <w:rPr>
          <w:b/>
        </w:rPr>
        <w:t xml:space="preserve">(2) </w:t>
      </w:r>
      <w:r>
        <w:t>Gerichtsstand ist Muenchen. Es gilt deutsches / lokales Recht (je nach Sitz des Mietobjekts). Sollten einzelne Bestimmungen unwirksam sein, bleibt die Wirksamkeit der uebrigen Bestimmungen unberuehrt (salvatorische Klausel).</w:t>
      </w:r>
    </w:p>
    <w:p>
      <w:pPr>
        <w:pStyle w:val="Heading3"/>
      </w:pPr>
      <w:r>
        <w:t>Anlagenverzeichnis</w:t>
      </w:r>
    </w:p>
    <w:p>
      <w:pPr>
        <w:pStyle w:val="ListBullet"/>
      </w:pPr>
      <w:r>
        <w:t>Anlage 1 – Lageplan und Flaechenaufstellung</w:t>
      </w:r>
    </w:p>
    <w:p>
      <w:pPr>
        <w:pStyle w:val="ListBullet"/>
      </w:pPr>
      <w:r>
        <w:t>Anlage 2 – Nebenkostenvereinbarung und Heizkostenverteilung</w:t>
      </w:r>
    </w:p>
    <w:p>
      <w:pPr>
        <w:pStyle w:val="ListBullet"/>
      </w:pPr>
      <w:r>
        <w:t>Anlage 3 – Konzerngarantieerklaerung Brennhagen Elektronik AG</w:t>
      </w:r>
    </w:p>
    <w:p>
      <w:pPr>
        <w:pStyle w:val="ListBullet"/>
      </w:pPr>
      <w:r>
        <w:t>Anlage 4 – Mustervertrag Dachflaechen-Pacht (Photovoltaik)</w:t>
      </w:r>
    </w:p>
    <w:p>
      <w:pPr>
        <w:pStyle w:val="ListBullet"/>
      </w:pPr>
      <w:r>
        <w:t>Anlage 5 – Energieausweis gemaess GEG 2024</w:t>
      </w:r>
    </w:p>
    <w:p>
      <w:pPr>
        <w:pStyle w:val="ListBullet"/>
      </w:pPr>
      <w:r>
        <w:t>Anlage 6 – Brandschutzkonzept (Auszug)</w:t>
      </w:r>
    </w:p>
    <w:p>
      <w:pPr>
        <w:pStyle w:val="ListBullet"/>
      </w:pPr>
      <w:r>
        <w:t>Anlage 7 – Uebergabeprotokoll</w:t>
      </w:r>
    </w:p>
    <w:p>
      <w:pPr>
        <w:pStyle w:val="Heading3"/>
      </w:pPr>
      <w:r>
        <w:t>Unterschriften</w:t>
      </w:r>
    </w:p>
    <w:p>
      <w:r>
        <w:t>Ort, Datum: Muenchen, den 1. Januar 2020</w:t>
      </w:r>
    </w:p>
    <w:p>
      <w:r>
        <w:t>_________________________            _________________________</w:t>
        <w:br/>
        <w:t>Dr. Wolfgang Hertz                          i.V. Geschaeftsfuehrung Vermieter</w:t>
        <w:br/>
        <w:t>Head of Real Estate (extern, Drees &amp; Sommer)                          Vermieter-Vertreter</w:t>
        <w:br/>
        <w:t>fuer die Mieterin (REA / Konzern)                       Allianz Real Estate GmbH, Seidlstrasse 24-24a, 80335 Muenchen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