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Q1/2023 – Stellantis / BMS-12</w:t>
      </w:r>
    </w:p>
    <w:p>
      <w:pPr>
        <w:jc w:val="center"/>
      </w:pPr>
      <w:r>
        <w:t>Berichtsperiode 1. Januar – 31. Maerz 2023; Stellantis N.V. (Auftraggeber)</w:t>
      </w:r>
    </w:p>
    <w:p/>
    <w:p>
      <w:pPr>
        <w:pStyle w:val="Heading3"/>
      </w:pPr>
      <w:r>
        <w:t>Programm-Status</w:t>
      </w:r>
    </w:p>
    <w:p>
      <w:r>
        <w:t>Programm: BMS-12 Batteriemanagementsystem fuer Stellantis-Plattform STLA Medium (Modelle Peugeot E-3008, Opel Grandland-e, Citroen C5 Aircross EV). Status: C-Sample Build laeuft, SOP 22. April 2024 (Werk Sochaux/Frankreich Pilotlinie).</w:t>
      </w:r>
    </w:p>
    <w:p>
      <w:r>
        <w:t>Projekt-Lead REA: Dr. Thomas Weber (COO; ueberlappend zu seiner Vorstandsfunktion). Hauptansprechpartner Stellantis: Monsieur Jean-Luc Marchand (Director Battery Strategy, Hub Velizy-Villacoublay).</w:t>
      </w:r>
    </w:p>
    <w:p>
      <w:pPr>
        <w:pStyle w:val="Heading3"/>
      </w:pPr>
      <w:r>
        <w:t>Standort- und Immobilien-Bezug</w:t>
      </w:r>
    </w:p>
    <w:p>
      <w:r>
        <w:t>Hauptfertigung BMS-12 erfolgt im REG-Werk Heilbronn (Linie 3 ECU/BMS-Mix, geplante Erweiterung um eigene Linie 4 BMS-12 in Bauantragsphase – siehe REA_Bauantrag_Werkserweiterung_REG_Heilbronn_Linie4). EMS-Vorbestueckung erfolgt im Werk Katowice (RPL, 18.500 m² Halle, Sonderwirtschaftszone KSSE).</w:t>
      </w:r>
    </w:p>
    <w:p>
      <w:r>
        <w:t>Kundenanforderungen Stellantis umfassen jaehrliches On-Site-Audit; naechster Audit-Termin 12.-14. September 2023 (Heilbronn) und 15.-16. September 2023 (Katowice). Audit-Vorbereitung Real-Estate-seitig: Sabine Hartlieb in Abstimmung mit Q-Leitungen.</w:t>
      </w:r>
    </w:p>
    <w:p>
      <w:pPr>
        <w:pStyle w:val="Heading3"/>
      </w:pPr>
      <w:r>
        <w:t>Finanz-Kennzahlen Q1/2023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Kennzahl</w:t>
            </w:r>
          </w:p>
        </w:tc>
        <w:tc>
          <w:tcPr>
            <w:tcW w:type="dxa" w:w="2160"/>
          </w:tcPr>
          <w:p>
            <w:r>
              <w:t>Plan Q1</w:t>
            </w:r>
          </w:p>
        </w:tc>
        <w:tc>
          <w:tcPr>
            <w:tcW w:type="dxa" w:w="2160"/>
          </w:tcPr>
          <w:p>
            <w:r>
              <w:t>Ist Q1</w:t>
            </w:r>
          </w:p>
        </w:tc>
        <w:tc>
          <w:tcPr>
            <w:tcW w:type="dxa" w:w="2160"/>
          </w:tcPr>
          <w:p>
            <w:r>
              <w:t>Abweichung</w:t>
            </w:r>
          </w:p>
        </w:tc>
      </w:tr>
      <w:tr>
        <w:tc>
          <w:tcPr>
            <w:tcW w:type="dxa" w:w="2160"/>
          </w:tcPr>
          <w:p>
            <w:r>
              <w:t>Umsatz BMS-12 NRE Mio. EUR</w:t>
            </w:r>
          </w:p>
        </w:tc>
        <w:tc>
          <w:tcPr>
            <w:tcW w:type="dxa" w:w="2160"/>
          </w:tcPr>
          <w:p>
            <w:r>
              <w:t>4,2</w:t>
            </w:r>
          </w:p>
        </w:tc>
        <w:tc>
          <w:tcPr>
            <w:tcW w:type="dxa" w:w="2160"/>
          </w:tcPr>
          <w:p>
            <w:r>
              <w:t>4,5</w:t>
            </w:r>
          </w:p>
        </w:tc>
        <w:tc>
          <w:tcPr>
            <w:tcW w:type="dxa" w:w="2160"/>
          </w:tcPr>
          <w:p>
            <w:r>
              <w:t>+7 %</w:t>
            </w:r>
          </w:p>
        </w:tc>
      </w:tr>
      <w:tr>
        <w:tc>
          <w:tcPr>
            <w:tcW w:type="dxa" w:w="2160"/>
          </w:tcPr>
          <w:p>
            <w:r>
              <w:t>Serien-Lifetime-Volumen MEUR (Letter of Award)</w:t>
            </w:r>
          </w:p>
        </w:tc>
        <w:tc>
          <w:tcPr>
            <w:tcW w:type="dxa" w:w="2160"/>
          </w:tcPr>
          <w:p>
            <w:r>
              <w:t>920</w:t>
            </w:r>
          </w:p>
        </w:tc>
        <w:tc>
          <w:tcPr>
            <w:tcW w:type="dxa" w:w="2160"/>
          </w:tcPr>
          <w:p>
            <w:r>
              <w:t>920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EBIT-Marge Programm</w:t>
            </w:r>
          </w:p>
        </w:tc>
        <w:tc>
          <w:tcPr>
            <w:tcW w:type="dxa" w:w="2160"/>
          </w:tcPr>
          <w:p>
            <w:r>
              <w:t>9,2 %</w:t>
            </w:r>
          </w:p>
        </w:tc>
        <w:tc>
          <w:tcPr>
            <w:tcW w:type="dxa" w:w="2160"/>
          </w:tcPr>
          <w:p>
            <w:r>
              <w:t>8,4 %</w:t>
            </w:r>
          </w:p>
        </w:tc>
        <w:tc>
          <w:tcPr>
            <w:tcW w:type="dxa" w:w="2160"/>
          </w:tcPr>
          <w:p>
            <w:r>
              <w:t>-0,8 pp (Material-Cost-Pass-through anstehend)</w:t>
            </w:r>
          </w:p>
        </w:tc>
      </w:tr>
      <w:tr>
        <w:tc>
          <w:tcPr>
            <w:tcW w:type="dxa" w:w="2160"/>
          </w:tcPr>
          <w:p>
            <w:r>
              <w:t>PPAP-Status (Stellantis Sochaux)</w:t>
            </w:r>
          </w:p>
        </w:tc>
        <w:tc>
          <w:tcPr>
            <w:tcW w:type="dxa" w:w="2160"/>
          </w:tcPr>
          <w:p>
            <w:r>
              <w:t>Phase 3</w:t>
            </w:r>
          </w:p>
        </w:tc>
        <w:tc>
          <w:tcPr>
            <w:tcW w:type="dxa" w:w="2160"/>
          </w:tcPr>
          <w:p>
            <w:r>
              <w:t>Phase 3</w:t>
            </w:r>
          </w:p>
        </w:tc>
        <w:tc>
          <w:tcPr>
            <w:tcW w:type="dxa" w:w="2160"/>
          </w:tcPr>
          <w:p>
            <w:r>
              <w:t>on track</w:t>
            </w:r>
          </w:p>
        </w:tc>
      </w:tr>
      <w:tr>
        <w:tc>
          <w:tcPr>
            <w:tcW w:type="dxa" w:w="2160"/>
          </w:tcPr>
          <w:p>
            <w:r>
              <w:t>Audit-Findings (interne Vor-Audits)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Tool-Investitionen Werk Heilbronn (Linie 4 Vorbereitung)</w:t>
            </w:r>
          </w:p>
        </w:tc>
        <w:tc>
          <w:tcPr>
            <w:tcW w:type="dxa" w:w="2160"/>
          </w:tcPr>
          <w:p>
            <w:r>
              <w:t>1,8 Mio. EUR</w:t>
            </w:r>
          </w:p>
        </w:tc>
        <w:tc>
          <w:tcPr>
            <w:tcW w:type="dxa" w:w="2160"/>
          </w:tcPr>
          <w:p>
            <w:r>
              <w:t>1,9</w:t>
            </w:r>
          </w:p>
        </w:tc>
        <w:tc>
          <w:tcPr>
            <w:tcW w:type="dxa" w:w="2160"/>
          </w:tcPr>
          <w:p>
            <w:r>
              <w:t>+5 %</w:t>
            </w:r>
          </w:p>
        </w:tc>
      </w:tr>
    </w:tbl>
    <w:p>
      <w:pPr>
        <w:pStyle w:val="Heading3"/>
      </w:pPr>
      <w:r>
        <w:t>Risiken und Aktionen</w:t>
      </w:r>
    </w:p>
    <w:p>
      <w:pPr>
        <w:pStyle w:val="ListBullet"/>
      </w:pPr>
      <w:r>
        <w:t>Material-Cost-Pass-through: Verhandlungen ueber Quartalspreis-Anpassungen (Lithium, Kupfer) laufen; Verschlechterung der Programm-Marge im Plan; erwartete Re-Pricing Q3/2023.</w:t>
      </w:r>
    </w:p>
    <w:p>
      <w:pPr>
        <w:pStyle w:val="ListBullet"/>
      </w:pPr>
      <w:r>
        <w:t>Werkserweiterung REG Heilbronn Linie 4 BMS-12: Bauantrag bei Stadt Heilbronn eingereicht 28. Februar 2023; Anhoerung Nachbarn 20. April 2023; Genehmigung erwartet Q3/2023; Baubeginn Q4/2023; Inbetriebnahme Q3/2024.</w:t>
      </w:r>
    </w:p>
    <w:p>
      <w:pPr>
        <w:pStyle w:val="ListBullet"/>
      </w:pPr>
      <w:r>
        <w:t>Stellantis-Anforderung CO2-Footprint: BMS-12 Lifecycle-Analyse erforderlich; PV-Aufdach Heilbronn 1.480 kWp (Inbetriebnahme 2024) verbessert Scope-1-Footprint signifikant.</w:t>
      </w:r>
    </w:p>
    <w:p>
      <w:pPr>
        <w:pStyle w:val="ListBullet"/>
      </w:pPr>
      <w:r>
        <w:t>Risikomanagement: D&amp;O-Versicherung (Allianz GCS, 50 Mio. EUR VS) deckt programm-spezifische Vorstandsrisiken; Programmhaftpflicht (Liability) ueber Konzernrahmen.</w:t>
      </w:r>
    </w:p>
    <w:p>
      <w:pPr>
        <w:pStyle w:val="ListBullet"/>
      </w:pPr>
      <w:r>
        <w:t>Re-Auditierung IATF 16949 in Q4/2023 vorgesehen (Werke Heilbronn, Katowice, Brno).</w:t>
      </w:r>
    </w:p>
    <w:p>
      <w:pPr>
        <w:pStyle w:val="Heading3"/>
      </w:pPr>
      <w:r>
        <w:t>Freigabe</w:t>
      </w:r>
    </w:p>
    <w:p>
      <w:r>
        <w:t>Bericht erstellt durch Programm-Management BMS-12; Review COO Dr. Thomas Weber. Naechstes QBR Q2/2023 am 18. Juli 2023 in Sochaux (FR).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