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 (RPL)</w:t>
      </w:r>
    </w:p>
    <w:p>
      <w:r>
        <w:rPr>
          <w:sz w:val="18"/>
        </w:rPr>
        <w:t>KSSE Strefa Aktywnosci Gospodarczej, ul. Wegierska 18, 40-203 Katowice (PL)  |  KRS 0000412376,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Umwelt-/Immissionsschutzgutachten 2022 – RPL Werk Katowice</w:t>
      </w:r>
    </w:p>
    <w:p>
      <w:pPr>
        <w:jc w:val="center"/>
      </w:pPr>
      <w:r>
        <w:t>Standortbezogenes Boden-, Wasser-, Laerm- und Immissionsgutachten; Stichtag 2022</w:t>
      </w:r>
    </w:p>
    <w:p/>
    <w:p>
      <w:pPr>
        <w:pStyle w:val="Heading3"/>
      </w:pPr>
      <w:r>
        <w:t>Anlass und Gutachter</w:t>
      </w:r>
    </w:p>
    <w:p>
      <w:r>
        <w:t>Im Rahmen der ISO 14001:2015-Rezertifizierung sowie der Vorbereitung des Werks-Erweiterungsbauantrags (Heilbronn Linie 4 BMS-12 / Stuttgart ADAS-Erweiterung) wurde ein standortbezogenes Umweltgutachten in Auftrag gegeben. Auftraggeber: Brennhagen Polska Sp. z o.o. (RPL). Sachverstaendige: ERM Group (Environmental Resources Management), Niederlassung Frankfurt am Main; lokale Partner: TUEV SUED Industrie Service GmbH (Boden, Wasser); Akustikbuero Greiner Ingenieure (Heilbronn) fuer Laerm.</w:t>
      </w:r>
    </w:p>
    <w:p>
      <w:r>
        <w:t>Gegenstand: Pruefung der Standortvertraeglichkeit nach BImSchG (Bundes-Immissionsschutzgesetz, §§ 4 ff., 22 ff.) bzw. polnischem/tschechischem/ungarischem/chinesischem Aequivalent. Schwerpunkte: Luftschadstoffe (Loetdaempfe, VOC), Laerm (Lueftung, Werksverkehr), Boden- und Grundwasserschutz (Loesemittel, Loetpasten), Abfall- und Gefahrstoffmanagement.</w:t>
      </w:r>
    </w:p>
    <w:p>
      <w:pPr>
        <w:pStyle w:val="Heading3"/>
      </w:pPr>
      <w:r>
        <w:t>Standortdaten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Werk</w:t>
            </w:r>
          </w:p>
        </w:tc>
        <w:tc>
          <w:tcPr>
            <w:tcW w:type="dxa" w:w="4320"/>
          </w:tcPr>
          <w:p>
            <w:r>
              <w:t>RPL Werk Katowice</w:t>
            </w:r>
          </w:p>
        </w:tc>
      </w:tr>
      <w:tr>
        <w:tc>
          <w:tcPr>
            <w:tcW w:type="dxa" w:w="4320"/>
          </w:tcPr>
          <w:p>
            <w:r>
              <w:t>Adresse</w:t>
            </w:r>
          </w:p>
        </w:tc>
        <w:tc>
          <w:tcPr>
            <w:tcW w:type="dxa" w:w="4320"/>
          </w:tcPr>
          <w:p>
            <w:r>
              <w:t>KSSE Strefa Aktywnosci Gospodarczej, ul. Wegierska 18, 40-203 Katowice (Polen)</w:t>
            </w:r>
          </w:p>
        </w:tc>
      </w:tr>
      <w:tr>
        <w:tc>
          <w:tcPr>
            <w:tcW w:type="dxa" w:w="4320"/>
          </w:tcPr>
          <w:p>
            <w:r>
              <w:t>Naechste Wohnbebauung</w:t>
            </w:r>
          </w:p>
        </w:tc>
        <w:tc>
          <w:tcPr>
            <w:tcW w:type="dxa" w:w="4320"/>
          </w:tcPr>
          <w:p>
            <w:r>
              <w:t>ca. 380 m (in Richtung NW); Mischgebiet</w:t>
            </w:r>
          </w:p>
        </w:tc>
      </w:tr>
      <w:tr>
        <w:tc>
          <w:tcPr>
            <w:tcW w:type="dxa" w:w="4320"/>
          </w:tcPr>
          <w:p>
            <w:r>
              <w:t>Naechste sensible Nutzung (Schule/Kita)</w:t>
            </w:r>
          </w:p>
        </w:tc>
        <w:tc>
          <w:tcPr>
            <w:tcW w:type="dxa" w:w="4320"/>
          </w:tcPr>
          <w:p>
            <w:r>
              <w:t>ca. 720 m (Grundschule)</w:t>
            </w:r>
          </w:p>
        </w:tc>
      </w:tr>
      <w:tr>
        <w:tc>
          <w:tcPr>
            <w:tcW w:type="dxa" w:w="4320"/>
          </w:tcPr>
          <w:p>
            <w:r>
              <w:t>BImSchG-Genehmigung</w:t>
            </w:r>
          </w:p>
        </w:tc>
        <w:tc>
          <w:tcPr>
            <w:tcW w:type="dxa" w:w="4320"/>
          </w:tcPr>
          <w:p>
            <w:r>
              <w:t>Lokales Aequivalent (Polen/CZ/HU/CN) eingehalten; siehe Anlage 3</w:t>
            </w:r>
          </w:p>
        </w:tc>
      </w:tr>
      <w:tr>
        <w:tc>
          <w:tcPr>
            <w:tcW w:type="dxa" w:w="4320"/>
          </w:tcPr>
          <w:p>
            <w:r>
              <w:t>Boden-/Grundwasserschutzgebiet</w:t>
            </w:r>
          </w:p>
        </w:tc>
        <w:tc>
          <w:tcPr>
            <w:tcW w:type="dxa" w:w="4320"/>
          </w:tcPr>
          <w:p>
            <w:r>
              <w:t>Wasserschutzgebiet III (gering); keine Trinkwassergewinnung im Anstrombereich</w:t>
            </w:r>
          </w:p>
        </w:tc>
      </w:tr>
    </w:tbl>
    <w:p>
      <w:pPr>
        <w:pStyle w:val="Heading3"/>
      </w:pPr>
      <w:r>
        <w:t>Messungen und Ergebnisse</w:t>
      </w:r>
    </w:p>
    <w:p>
      <w:pPr>
        <w:pStyle w:val="Heading4"/>
      </w:pPr>
      <w:r>
        <w:t>§ 1 Laerm (Immissionsschutz)</w:t>
      </w:r>
    </w:p>
    <w:p>
      <w:r>
        <w:rPr>
          <w:b/>
        </w:rPr>
        <w:t xml:space="preserve">(1) </w:t>
      </w:r>
      <w:r>
        <w:t>Messzeitraum: 1.6. – 30.9.2022, kontinuierlich. Messpunkte: 4 Aussenpunkte (Werkszaun NW, NO, SO, SW) und 2 Innenpunkte (Halle 2, Lueftungstechnik Dach).</w:t>
      </w:r>
    </w:p>
    <w:p>
      <w:r>
        <w:rPr>
          <w:b/>
        </w:rPr>
        <w:t xml:space="preserve">(2) </w:t>
      </w:r>
      <w:r>
        <w:t>Ergebnis Tag (06:00-22:00): Mittelwert 54 dB(A) am naechsten Immissionsort, Grenzwert TA Laerm Mischgebiet 60 dB(A) – eingehalten. Spitzenpegel einzelner Verkehrsbewegungen (LKW-Andienung) 67 dB(A) ueberschritten, jedoch innerhalb der zulaessigen Haeufigkeit nach TA Laerm Nr. 6.1.</w:t>
      </w:r>
    </w:p>
    <w:p>
      <w:r>
        <w:rPr>
          <w:b/>
        </w:rPr>
        <w:t xml:space="preserve">(3) </w:t>
      </w:r>
      <w:r>
        <w:t>Ergebnis Nacht (22:00-06:00): 41 dB(A) (Grenzwert 45 dB(A)) – eingehalten. Massnahme: weitere Optimierung Lueftung Dach (Schallhaube Q2 2023).</w:t>
      </w:r>
    </w:p>
    <w:p>
      <w:pPr>
        <w:pStyle w:val="Heading4"/>
      </w:pPr>
      <w:r>
        <w:t>§ 2 Luftschadstoffe (VOC, Loetdaempfe, Stickoxide)</w:t>
      </w:r>
    </w:p>
    <w:p>
      <w:r>
        <w:rPr>
          <w:b/>
        </w:rPr>
        <w:t xml:space="preserve">(1) </w:t>
      </w:r>
      <w:r>
        <w:t>Innenraum: VOC-Konzentration &lt; 0,3 mg/m³ (Grenzwert TRGS 900 fuer Loetbereiche 2,0 mg/m³) – Abgesicherung durch Punkt-Absaugung an SMD-Loetlinien (Wartung halbjaehrlich, Filtertausch Hahnemuehle Industrial GmbH).</w:t>
      </w:r>
    </w:p>
    <w:p>
      <w:r>
        <w:rPr>
          <w:b/>
        </w:rPr>
        <w:t xml:space="preserve">(2) </w:t>
      </w:r>
      <w:r>
        <w:t>Aussenluft: NOx, Feinstaub (PM2,5/PM10) unauffaellig, vergleichbar mit staedtischer Hintergrundkonzentration; eigene Beitrag des Werkes &lt; 5 %.</w:t>
      </w:r>
    </w:p>
    <w:p>
      <w:r>
        <w:rPr>
          <w:b/>
        </w:rPr>
        <w:t xml:space="preserve">(3) </w:t>
      </w:r>
      <w:r>
        <w:t>Empfehlung: Erweiterung der Aktivkohlefilter im Bereich Lackierung um eine zweite Stufe bis Q3 2023.</w:t>
      </w:r>
    </w:p>
    <w:p>
      <w:pPr>
        <w:pStyle w:val="Heading4"/>
      </w:pPr>
      <w:r>
        <w:t>§ 3 Boden- und Grundwasserschutz</w:t>
      </w:r>
    </w:p>
    <w:p>
      <w:r>
        <w:rPr>
          <w:b/>
        </w:rPr>
        <w:t xml:space="preserve">(1) </w:t>
      </w:r>
      <w:r>
        <w:t>Bodenuntersuchung an 12 Punkten (Bohrungen 2-4 m Tiefe): keine Auffaelligkeiten in Bezug auf PFAS, KW, BTEX, Schwermetalle (Werte unter Pruefwert BBodSchV).</w:t>
      </w:r>
    </w:p>
    <w:p>
      <w:r>
        <w:rPr>
          <w:b/>
        </w:rPr>
        <w:t xml:space="preserve">(2) </w:t>
      </w:r>
      <w:r>
        <w:t>Grundwasser-Beprobung an 3 Messstellen (jaehrlich, langjaehrige Reihe): keine signifikanten Veraenderungen; LHKW &lt; Bestimmungsgrenze.</w:t>
      </w:r>
    </w:p>
    <w:p>
      <w:r>
        <w:rPr>
          <w:b/>
        </w:rPr>
        <w:t xml:space="preserve">(3) </w:t>
      </w:r>
      <w:r>
        <w:t>Gefahrstofflagerung in WHG-konformer Auffangwanne; Pruefung gemaess AwSV alle 5 Jahre, naechste Pruefung 2024.</w:t>
      </w:r>
    </w:p>
    <w:p>
      <w:pPr>
        <w:pStyle w:val="Heading4"/>
      </w:pPr>
      <w:r>
        <w:t>§ 4 Abfall- und Gefahrstoffmanagement</w:t>
      </w:r>
    </w:p>
    <w:p>
      <w:r>
        <w:rPr>
          <w:b/>
        </w:rPr>
        <w:t xml:space="preserve">(1) </w:t>
      </w:r>
      <w:r>
        <w:t>Abfallschluesselverordnung AVV: Hauptmengen 12 01 05 (Kunststoffabfaelle), 15 02 02* (Loetschlamm, gefaehrlich), 16 02 14 (Elektroaltgeraete). Entsorgung ueber zertifizierte Entsorgungsbetriebe (Veolia, Remondis).</w:t>
      </w:r>
    </w:p>
    <w:p>
      <w:r>
        <w:rPr>
          <w:b/>
        </w:rPr>
        <w:t xml:space="preserve">(2) </w:t>
      </w:r>
      <w:r>
        <w:t>Gefahrstoffkataster nach GefStoffV vollstaendig und aktuell; SDB (Sicherheitsdatenblaetter) im SAP EHS Modul gepflegt. Schulung Mitarbeiter alle 12 Monate.</w:t>
      </w:r>
    </w:p>
    <w:p>
      <w:r>
        <w:rPr>
          <w:b/>
        </w:rPr>
        <w:t xml:space="preserve">(3) </w:t>
      </w:r>
      <w:r>
        <w:t>REACH/RoHS-Konformitaet der eingesetzten Stoffe ist Bestandteil des Lieferanten-Auditprogrammes (Konzern-Compliance).</w:t>
      </w:r>
    </w:p>
    <w:p>
      <w:pPr>
        <w:pStyle w:val="Heading3"/>
      </w:pPr>
      <w:r>
        <w:t>Empfehlungen und 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BImSchG/lokal Bezug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Budget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Schallhaube Lueftungsdach</w:t>
            </w:r>
          </w:p>
        </w:tc>
        <w:tc>
          <w:tcPr>
            <w:tcW w:type="dxa" w:w="1728"/>
          </w:tcPr>
          <w:p>
            <w:r>
              <w:t>TA Laerm Nr. 6.1</w:t>
            </w:r>
          </w:p>
        </w:tc>
        <w:tc>
          <w:tcPr>
            <w:tcW w:type="dxa" w:w="1728"/>
          </w:tcPr>
          <w:p>
            <w:r>
              <w:t>Q2 2023</w:t>
            </w:r>
          </w:p>
        </w:tc>
        <w:tc>
          <w:tcPr>
            <w:tcW w:type="dxa" w:w="1728"/>
          </w:tcPr>
          <w:p>
            <w:r>
              <w:t>85.000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Zweite Stufe Aktivkohlefilter Lackierung</w:t>
            </w:r>
          </w:p>
        </w:tc>
        <w:tc>
          <w:tcPr>
            <w:tcW w:type="dxa" w:w="1728"/>
          </w:tcPr>
          <w:p>
            <w:r>
              <w:t>TRGS 900</w:t>
            </w:r>
          </w:p>
        </w:tc>
        <w:tc>
          <w:tcPr>
            <w:tcW w:type="dxa" w:w="1728"/>
          </w:tcPr>
          <w:p>
            <w:r>
              <w:t>Q3 2023</w:t>
            </w:r>
          </w:p>
        </w:tc>
        <w:tc>
          <w:tcPr>
            <w:tcW w:type="dxa" w:w="1728"/>
          </w:tcPr>
          <w:p>
            <w:r>
              <w:t>120.000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Erweiterung Grundwasser-Monitoring (+2 Messstellen)</w:t>
            </w:r>
          </w:p>
        </w:tc>
        <w:tc>
          <w:tcPr>
            <w:tcW w:type="dxa" w:w="1728"/>
          </w:tcPr>
          <w:p>
            <w:r>
              <w:t>AwSV / WHG</w:t>
            </w:r>
          </w:p>
        </w:tc>
        <w:tc>
          <w:tcPr>
            <w:tcW w:type="dxa" w:w="1728"/>
          </w:tcPr>
          <w:p>
            <w:r>
              <w:t>Q4 2023</w:t>
            </w:r>
          </w:p>
        </w:tc>
        <w:tc>
          <w:tcPr>
            <w:tcW w:type="dxa" w:w="1728"/>
          </w:tcPr>
          <w:p>
            <w:r>
              <w:t>45.000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Energetische Optimierung HVAC</w:t>
            </w:r>
          </w:p>
        </w:tc>
        <w:tc>
          <w:tcPr>
            <w:tcW w:type="dxa" w:w="1728"/>
          </w:tcPr>
          <w:p>
            <w:r>
              <w:t>GEG 2024 / EnEV</w:t>
            </w:r>
          </w:p>
        </w:tc>
        <w:tc>
          <w:tcPr>
            <w:tcW w:type="dxa" w:w="1728"/>
          </w:tcPr>
          <w:p>
            <w:r>
              <w:t>H2 2023</w:t>
            </w:r>
          </w:p>
        </w:tc>
        <w:tc>
          <w:tcPr>
            <w:tcW w:type="dxa" w:w="1728"/>
          </w:tcPr>
          <w:p>
            <w:r>
              <w:t>320.000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Vorbereitung BImSchG-Antrag Werkserweiterung</w:t>
            </w:r>
          </w:p>
        </w:tc>
        <w:tc>
          <w:tcPr>
            <w:tcW w:type="dxa" w:w="1728"/>
          </w:tcPr>
          <w:p>
            <w:r>
              <w:t>4. BImSchV</w:t>
            </w:r>
          </w:p>
        </w:tc>
        <w:tc>
          <w:tcPr>
            <w:tcW w:type="dxa" w:w="1728"/>
          </w:tcPr>
          <w:p>
            <w:r>
              <w:t>H1 2024</w:t>
            </w:r>
          </w:p>
        </w:tc>
        <w:tc>
          <w:tcPr>
            <w:tcW w:type="dxa" w:w="1728"/>
          </w:tcPr>
          <w:p>
            <w:r>
              <w:t>60.000</w:t>
            </w:r>
          </w:p>
        </w:tc>
      </w:tr>
    </w:tbl>
    <w:p>
      <w:pPr>
        <w:pStyle w:val="Heading3"/>
      </w:pPr>
      <w:r>
        <w:t>Schlussfeststellung und Zertifizierung</w:t>
      </w:r>
    </w:p>
    <w:p>
      <w:r>
        <w:t>Das Werk RPL Werk Katowice betreibt seine Anlagen im Einklang mit dem geltenden Immissionsschutz-, Boden- und Wasserrecht. Die Empfehlungen sind Ergebnis einer vorsorgenden Pruefung und nicht Folge festgestellter Pflichtverletzungen. Die Standortvertraeglichkeit fuer die geplante Werks-Erweiterung (Linie 4 BMS-12 in Heilbronn / ADAS-Testzentrum-Erweiterung in Stuttgart) ist gegeben, sofern die oben genannten Massnahmen umgesetzt werden.</w:t>
      </w:r>
    </w:p>
    <w:p>
      <w:r>
        <w:t>Gutachten erstellt durch: ERM Group, Hanauer Landstrasse 287-289, 60314 Frankfurt am Main; Verantwortlicher Sachverstaendiger Dr. Christoph Lehmann (Diplom-Geooekologe). Pruefung Konzern-Compliance: Dr. Heike Berger (Group Tax) und Dr. Wolfgang Hertz (Head of Real Estate).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