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 (RSG)</w:t>
      </w:r>
    </w:p>
    <w:p>
      <w:r>
        <w:rPr>
          <w:sz w:val="18"/>
        </w:rPr>
        <w:t>Lyonel-Feininger-Strasse 28, 80807 Muenchen  |  HRB 245612,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Korrespondenz Betriebsrat – Interessenausgleich Betriebsaenderung Standort RSG 2022</w:t>
      </w:r>
    </w:p>
    <w:p>
      <w:pPr>
        <w:jc w:val="center"/>
      </w:pPr>
      <w:r>
        <w:t>Standort RSG Muenchen-Schwabing; Anlass: Flaechenoptimierung und Hybrid-Working-Konzept</w:t>
      </w:r>
    </w:p>
    <w:p/>
    <w:p>
      <w:pPr>
        <w:pStyle w:val="Heading3"/>
      </w:pPr>
      <w:r>
        <w:t>Anlass und Verfahrensstand</w:t>
      </w:r>
    </w:p>
    <w:p>
      <w:r>
        <w:t>Im Rahmen des Hybrid-Working-Konzeptes »RSG Smart Office 2023« plant die Geschaeftsleitung der Brennhagen Software GmbH (Werkleiter Dr. Klaus Kessler) eine Reduktion der angemieteten Bueroflaeche am Standort Lyonel-Feininger-Strasse 28, 80807 Muenchen, um voraussichtlich 1.020 m² (von 4.620 m² auf 3.600 m²) zum 1. April 2023. Hintergrund: Auswertung der Anwesenheitsdaten 2021/2022 zeigt eine durchschnittliche Anwesenheitsquote von 38 % bei einer Gesamt-FTE von 340 Mitarbeitenden.</w:t>
      </w:r>
    </w:p>
    <w:p>
      <w:r>
        <w:t>Die Flaechenreduktion umfasst die Aufgabe des 6. OG (1.020 m²) bei gleichzeitiger Verdichtung der verbleibenden Flaechen mit modernen Workplace-Konzepten (Desk-Sharing-Quote 1,3 : 1). Da die Massnahme als Betriebsaenderung im Sinne von § 111 BetrVG zu qualifizieren ist, wurde der oertliche Betriebsrat (Vorsitzender Lars Wittmann, stv. Vorsitz Andrea Hofer) am 14. Oktober 2022 informiert.</w:t>
      </w:r>
    </w:p>
    <w:p>
      <w:pPr>
        <w:pStyle w:val="Heading3"/>
      </w:pPr>
      <w:r>
        <w:t>Bisheriger Verhandlungsstand</w:t>
      </w:r>
    </w:p>
    <w:p>
      <w:pPr>
        <w:pStyle w:val="Heading4"/>
      </w:pPr>
      <w:r>
        <w:t>§ 1 Termine und Sitzungen</w:t>
      </w:r>
    </w:p>
    <w:p>
      <w:r>
        <w:rPr>
          <w:b/>
        </w:rPr>
        <w:t xml:space="preserve">(1) </w:t>
      </w:r>
      <w:r>
        <w:t>14. Oktober 2022: Erstes Informationsgespraech Geschaeftsleitung – BR (Kessler, Wittmann, Hofer; Real Estate Officer Sabine Hartlieb).</w:t>
      </w:r>
    </w:p>
    <w:p>
      <w:r>
        <w:rPr>
          <w:b/>
        </w:rPr>
        <w:t xml:space="preserve">(2) </w:t>
      </w:r>
      <w:r>
        <w:t>8. November 2022: Sondersitzung BR mit Anhoerung Hartlieb zum Detailkonzept; ausfuehrliche Diskussion zu Arbeitsplatz-Standards (Schallschutz, Akustik, Tageslicht, Frischluft).</w:t>
      </w:r>
    </w:p>
    <w:p>
      <w:r>
        <w:rPr>
          <w:b/>
        </w:rPr>
        <w:t xml:space="preserve">(3) </w:t>
      </w:r>
      <w:r>
        <w:t>22. November 2022: Vorlage erster Entwurf Interessenausgleich; Beteiligung der gewerkschaftlichen Vertretung (IG Metall, KBR-Vorsitzende Marlies Duerr eingebunden).</w:t>
      </w:r>
    </w:p>
    <w:p>
      <w:r>
        <w:rPr>
          <w:b/>
        </w:rPr>
        <w:t xml:space="preserve">(4) </w:t>
      </w:r>
      <w:r>
        <w:t>9. Dezember 2022: Anhoerung Werks-Arbeitssicherheit (Sifa) und Betriebsarzt zu Arbeitsplatz-Mindeststandards.</w:t>
      </w:r>
    </w:p>
    <w:p>
      <w:r>
        <w:rPr>
          <w:b/>
        </w:rPr>
        <w:t xml:space="preserve">(5) </w:t>
      </w:r>
      <w:r>
        <w:t>Naechste Sitzung 19. Dezember 2022 zur Beschlussfassung Interessenausgleich (Ziel).</w:t>
      </w:r>
    </w:p>
    <w:p>
      <w:pPr>
        <w:pStyle w:val="Heading4"/>
      </w:pPr>
      <w:r>
        <w:t>§ 2 Strittige Punkte</w:t>
      </w:r>
    </w:p>
    <w:p>
      <w:r>
        <w:rPr>
          <w:b/>
        </w:rPr>
        <w:t xml:space="preserve">(1) </w:t>
      </w:r>
      <w:r>
        <w:t>Desk-Sharing-Quote: BR fordert 1,2 : 1 statt 1,3 : 1 (mehr persoenliche Arbeitsplaetze).</w:t>
      </w:r>
    </w:p>
    <w:p>
      <w:r>
        <w:rPr>
          <w:b/>
        </w:rPr>
        <w:t xml:space="preserve">(2) </w:t>
      </w:r>
      <w:r>
        <w:t>Mindest-Arbeitsplatz-Flaeche: BR fordert 12 m² je Arbeitsplatz (ASR A1.2 plus Sicherheit); Geschaeftsleitung 10 m².</w:t>
      </w:r>
    </w:p>
    <w:p>
      <w:r>
        <w:rPr>
          <w:b/>
        </w:rPr>
        <w:t xml:space="preserve">(3) </w:t>
      </w:r>
      <w:r>
        <w:t>Mobiles Arbeiten: BR fordert Verankerung eines Anspruches auf 50 % Mobile Working (statt »Kann-Regelung«).</w:t>
      </w:r>
    </w:p>
    <w:p>
      <w:r>
        <w:rPr>
          <w:b/>
        </w:rPr>
        <w:t xml:space="preserve">(4) </w:t>
      </w:r>
      <w:r>
        <w:t>Sozialplan: nicht erforderlich (keine Kuendigungen geplant); BR akzeptiert; jedoch Wunsch nach Hardware-Ausstattung Home-Office (Monitor, ergonomischer Stuhl).</w:t>
      </w:r>
    </w:p>
    <w:p>
      <w:pPr>
        <w:pStyle w:val="Heading4"/>
      </w:pPr>
      <w:r>
        <w:t>§ 3 Konsensbereiche</w:t>
      </w:r>
    </w:p>
    <w:p>
      <w:r>
        <w:rPr>
          <w:b/>
        </w:rPr>
        <w:t xml:space="preserve">(1) </w:t>
      </w:r>
      <w:r>
        <w:t>Reduktion der angemieteten Flaeche und Aufgabe 6. OG: BR stimmt zu (oekonomisch und oekologisch sinnvoll).</w:t>
      </w:r>
    </w:p>
    <w:p>
      <w:r>
        <w:rPr>
          <w:b/>
        </w:rPr>
        <w:t xml:space="preserve">(2) </w:t>
      </w:r>
      <w:r>
        <w:t>Investitionsprogramm »Smart Office« (4.200 EUR pro verbleibendem Arbeitsplatz inkl. Akustik-Verbesserung, Beleuchtung, Klima): BR stimmt zu.</w:t>
      </w:r>
    </w:p>
    <w:p>
      <w:r>
        <w:rPr>
          <w:b/>
        </w:rPr>
        <w:t xml:space="preserve">(3) </w:t>
      </w:r>
      <w:r>
        <w:t>Vorbereitung Aufgabe 6. OG: Gemeinsamer Begleit-Ausschuss aus 2 BR-Mitgliedern und 2 GL-Vertretern.</w:t>
      </w:r>
    </w:p>
    <w:p>
      <w:pPr>
        <w:pStyle w:val="Heading3"/>
      </w:pPr>
      <w:r>
        <w:t>Naechste Schritte</w:t>
      </w:r>
    </w:p>
    <w:p>
      <w:r>
        <w:t>Bis 19.12.2022 soll der Interessenausgleich beschlossen werden. Die Geschaeftsleitung wird in der Zwischenzeit Verhandlungen mit dem Vermieter (Allianz Real Estate GmbH) zur Flaechenrueckgabe fuehren; Mietreduktion ab 1.4.2023 angestrebt. Die Real-Estate-seitige Begleitung erfolgt durch Sabine Hartlieb (in enger Abstimmung mit Dr. Wolfgang Hertz / Drees &amp; Sommer). Anwaltliche Begleitung der Konzernseite: Hengeler Mueller (Frankfurt); Begleitung BR-seitig: Kanzlei Schipp &amp; Partner (Muenchen).</w:t>
      </w:r>
    </w:p>
    <w:p>
      <w:r>
        <w:t>Information KBR und Konzernbetriebsrats-Vorsitzende Marlies Duerr (IG Metall) sowie Information CFO Laura Bauer und COO Dr. Thomas Weber im Vorstand der Brennhagen Elektronik AG erfolgt im Rahmen der ueblichen Monatsberichte. Voraussichtliche Einsparung Konzern-Sicht: 235.000 EUR p.a. (Kaltmiete plus NK-Reduktion 6. OG).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