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 (RCZ)</w:t>
      </w:r>
    </w:p>
    <w:p>
      <w:r>
        <w:rPr>
          <w:sz w:val="18"/>
        </w:rPr>
        <w:t>CTP Park Brno-South, Hala B14, Heshova 17, 627 00 Brno (CZ)  |  IC 27812234, MS Brno C/47812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Nebenkostenabrechnung 2023 – RCZ Werk Brno</w:t>
      </w:r>
    </w:p>
    <w:p>
      <w:pPr>
        <w:jc w:val="center"/>
      </w:pPr>
      <w:r>
        <w:t>Abrechnungszeitraum: 01.01.2023 – 31.12.2023</w:t>
      </w:r>
    </w:p>
    <w:p/>
    <w:p>
      <w:pPr>
        <w:pStyle w:val="Heading3"/>
      </w:pPr>
      <w:r>
        <w:t>Mietobjekt und Vertragsbezug</w:t>
      </w:r>
    </w:p>
    <w:p>
      <w:r>
        <w:t>Mietobjekt: RCZ Werk Brno, CTP Park Brno-South, Hala B14, Heshova 17, 627 00 Brno (Tschechien). Mieter: Brennhagen CZ s.r.o. (RCZ). Vermieter: CTP Invest, spol. s r.o., Central Trade Park D1, 396 01 Humpolec (CZ). Grundlage: Gewerblicher Mietvertrag vom 1. Januar 2020, § 3 (3) (Nebenkostenabrechnung) i.V.m. Anlage 2 (Nebenkostenkatalog). Verteilerschluessel grundsaetzlich nach angemieteter Flaeche (12.800 m² Produktion + 1.400 m² Buero); Heizung anteilig 50 % Flaeche / 50 % Verbrauch.</w:t>
      </w:r>
    </w:p>
    <w:p>
      <w:pPr>
        <w:pStyle w:val="Heading3"/>
      </w:pPr>
      <w:r>
        <w:t>Aufstellung der Betriebs- und Nebenkosten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Kostenposition</w:t>
            </w:r>
          </w:p>
        </w:tc>
        <w:tc>
          <w:tcPr>
            <w:tcW w:type="dxa" w:w="2160"/>
          </w:tcPr>
          <w:p>
            <w:r>
              <w:t>Verteilerschluessel</w:t>
            </w:r>
          </w:p>
        </w:tc>
        <w:tc>
          <w:tcPr>
            <w:tcW w:type="dxa" w:w="2160"/>
          </w:tcPr>
          <w:p>
            <w:r>
              <w:t>Gesamt (EUR)</w:t>
            </w:r>
          </w:p>
        </w:tc>
        <w:tc>
          <w:tcPr>
            <w:tcW w:type="dxa" w:w="2160"/>
          </w:tcPr>
          <w:p>
            <w:r>
              <w:t>Anteil Mieter (EUR)</w:t>
            </w:r>
          </w:p>
        </w:tc>
      </w:tr>
      <w:tr>
        <w:tc>
          <w:tcPr>
            <w:tcW w:type="dxa" w:w="2160"/>
          </w:tcPr>
          <w:p>
            <w:r>
              <w:t>Heizung / Fernwaerme / Gas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83.776</w:t>
            </w:r>
          </w:p>
        </w:tc>
        <w:tc>
          <w:tcPr>
            <w:tcW w:type="dxa" w:w="2160"/>
          </w:tcPr>
          <w:p>
            <w:r>
              <w:t>82.100</w:t>
            </w:r>
          </w:p>
        </w:tc>
      </w:tr>
      <w:tr>
        <w:tc>
          <w:tcPr>
            <w:tcW w:type="dxa" w:w="2160"/>
          </w:tcPr>
          <w:p>
            <w:r>
              <w:t>Strom Allgemeinstrom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30.464</w:t>
            </w:r>
          </w:p>
        </w:tc>
        <w:tc>
          <w:tcPr>
            <w:tcW w:type="dxa" w:w="2160"/>
          </w:tcPr>
          <w:p>
            <w:r>
              <w:t>29.855</w:t>
            </w:r>
          </w:p>
        </w:tc>
      </w:tr>
      <w:tr>
        <w:tc>
          <w:tcPr>
            <w:tcW w:type="dxa" w:w="2160"/>
          </w:tcPr>
          <w:p>
            <w:r>
              <w:t>Wasser / Abwasser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22.848</w:t>
            </w:r>
          </w:p>
        </w:tc>
        <w:tc>
          <w:tcPr>
            <w:tcW w:type="dxa" w:w="2160"/>
          </w:tcPr>
          <w:p>
            <w:r>
              <w:t>22.391</w:t>
            </w:r>
          </w:p>
        </w:tc>
      </w:tr>
      <w:tr>
        <w:tc>
          <w:tcPr>
            <w:tcW w:type="dxa" w:w="2160"/>
          </w:tcPr>
          <w:p>
            <w:r>
              <w:t>Klimatisierung / Lueftung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38.080</w:t>
            </w:r>
          </w:p>
        </w:tc>
        <w:tc>
          <w:tcPr>
            <w:tcW w:type="dxa" w:w="2160"/>
          </w:tcPr>
          <w:p>
            <w:r>
              <w:t>37.318</w:t>
            </w:r>
          </w:p>
        </w:tc>
      </w:tr>
      <w:tr>
        <w:tc>
          <w:tcPr>
            <w:tcW w:type="dxa" w:w="2160"/>
          </w:tcPr>
          <w:p>
            <w:r>
              <w:t>Hausreinigung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34.272</w:t>
            </w:r>
          </w:p>
        </w:tc>
        <w:tc>
          <w:tcPr>
            <w:tcW w:type="dxa" w:w="2160"/>
          </w:tcPr>
          <w:p>
            <w:r>
              <w:t>33.587</w:t>
            </w:r>
          </w:p>
        </w:tc>
      </w:tr>
      <w:tr>
        <w:tc>
          <w:tcPr>
            <w:tcW w:type="dxa" w:w="2160"/>
          </w:tcPr>
          <w:p>
            <w:r>
              <w:t>Aufzugswartung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15.232</w:t>
            </w:r>
          </w:p>
        </w:tc>
        <w:tc>
          <w:tcPr>
            <w:tcW w:type="dxa" w:w="2160"/>
          </w:tcPr>
          <w:p>
            <w:r>
              <w:t>14.927</w:t>
            </w:r>
          </w:p>
        </w:tc>
      </w:tr>
      <w:tr>
        <w:tc>
          <w:tcPr>
            <w:tcW w:type="dxa" w:w="2160"/>
          </w:tcPr>
          <w:p>
            <w:r>
              <w:t>Brandmeldeanlage / Sicherheit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26.656</w:t>
            </w:r>
          </w:p>
        </w:tc>
        <w:tc>
          <w:tcPr>
            <w:tcW w:type="dxa" w:w="2160"/>
          </w:tcPr>
          <w:p>
            <w:r>
              <w:t>26.123</w:t>
            </w:r>
          </w:p>
        </w:tc>
      </w:tr>
      <w:tr>
        <w:tc>
          <w:tcPr>
            <w:tcW w:type="dxa" w:w="2160"/>
          </w:tcPr>
          <w:p>
            <w:r>
              <w:t>Aussenanlagen / Winterdienst / Gartenbau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19.040</w:t>
            </w:r>
          </w:p>
        </w:tc>
        <w:tc>
          <w:tcPr>
            <w:tcW w:type="dxa" w:w="2160"/>
          </w:tcPr>
          <w:p>
            <w:r>
              <w:t>18.659</w:t>
            </w:r>
          </w:p>
        </w:tc>
      </w:tr>
      <w:tr>
        <w:tc>
          <w:tcPr>
            <w:tcW w:type="dxa" w:w="2160"/>
          </w:tcPr>
          <w:p>
            <w:r>
              <w:t>Versicherung Gebaeude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22.848</w:t>
            </w:r>
          </w:p>
        </w:tc>
        <w:tc>
          <w:tcPr>
            <w:tcW w:type="dxa" w:w="2160"/>
          </w:tcPr>
          <w:p>
            <w:r>
              <w:t>22.391</w:t>
            </w:r>
          </w:p>
        </w:tc>
      </w:tr>
      <w:tr>
        <w:tc>
          <w:tcPr>
            <w:tcW w:type="dxa" w:w="2160"/>
          </w:tcPr>
          <w:p>
            <w:r>
              <w:t>Grundsteuer-Anteil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30.464</w:t>
            </w:r>
          </w:p>
        </w:tc>
        <w:tc>
          <w:tcPr>
            <w:tcW w:type="dxa" w:w="2160"/>
          </w:tcPr>
          <w:p>
            <w:r>
              <w:t>29.855</w:t>
            </w:r>
          </w:p>
        </w:tc>
      </w:tr>
      <w:tr>
        <w:tc>
          <w:tcPr>
            <w:tcW w:type="dxa" w:w="2160"/>
          </w:tcPr>
          <w:p>
            <w:r>
              <w:t>Hausmeister / Property Management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38.080</w:t>
            </w:r>
          </w:p>
        </w:tc>
        <w:tc>
          <w:tcPr>
            <w:tcW w:type="dxa" w:w="2160"/>
          </w:tcPr>
          <w:p>
            <w:r>
              <w:t>37.318</w:t>
            </w:r>
          </w:p>
        </w:tc>
      </w:tr>
      <w:tr>
        <w:tc>
          <w:tcPr>
            <w:tcW w:type="dxa" w:w="2160"/>
          </w:tcPr>
          <w:p>
            <w:r>
              <w:t>Sonstige Betriebskosten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19.040</w:t>
            </w:r>
          </w:p>
        </w:tc>
        <w:tc>
          <w:tcPr>
            <w:tcW w:type="dxa" w:w="2160"/>
          </w:tcPr>
          <w:p>
            <w:r>
              <w:t>18.659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380.800</w:t>
            </w:r>
          </w:p>
        </w:tc>
        <w:tc>
          <w:tcPr>
            <w:tcW w:type="dxa" w:w="2160"/>
          </w:tcPr>
          <w:p>
            <w:r>
              <w:t>373.184</w:t>
            </w:r>
          </w:p>
        </w:tc>
      </w:tr>
    </w:tbl>
    <w:p>
      <w:pPr>
        <w:pStyle w:val="Heading3"/>
      </w:pPr>
      <w:r>
        <w:t>Saldenuebersicht</w:t>
      </w:r>
    </w:p>
    <w:p>
      <w:r>
        <w:t>Geleistete Vorauszahlungen Mieter im Abrechnungsjahr 2023: 358.400 EUR (12 Monatsraten zu je 29.867 EUR).</w:t>
      </w:r>
    </w:p>
    <w:p>
      <w:r>
        <w:t>Anteilige Gesamtkosten Mieter: 373.184 EUR.</w:t>
      </w:r>
    </w:p>
    <w:p>
      <w:r>
        <w:t>Saldo zugunsten Vermieter (Nachzahlung Mieter): 14.784 EUR. Die Saldoverrechnung erfolgt mit der naechsten Monatsmiete (Februar 2024); ein Widerspruch ist innerhalb von 12 Monaten nach Zugang dieser Abrechnung beim Vermieter geltend zu machen (§ 556 Abs. 3 BGB / lokales Aequivalent).</w:t>
      </w:r>
    </w:p>
    <w:p>
      <w:pPr>
        <w:pStyle w:val="Heading3"/>
      </w:pPr>
      <w:r>
        <w:t>Erlaeuterungen zu wesentlichen Posten</w:t>
      </w:r>
    </w:p>
    <w:p>
      <w:pPr>
        <w:pStyle w:val="ListBullet"/>
      </w:pPr>
      <w:r>
        <w:t>Heizkosten 2023: Anstieg gegenueber Vorjahr um ca. 18 % aufgrund der Erdgas-/Fernwaermeerhoehung infolge Ukrainekrise; Verbrauch wurde durch Programm »Energieeffizienz 2023« (LED, Daemmung, Heizungsoptimierung) um 9 % reduziert.</w:t>
      </w:r>
    </w:p>
    <w:p>
      <w:pPr>
        <w:pStyle w:val="ListBullet"/>
      </w:pPr>
      <w:r>
        <w:t>Strom Allgemein: Trotz Strompreiserhoehung gleichbleibend, da Eigenstromproduktion aus Photovoltaik (siehe Energieausweis) 22 % des Allgemeinstrombedarfes abdeckt.</w:t>
      </w:r>
    </w:p>
    <w:p>
      <w:pPr>
        <w:pStyle w:val="ListBullet"/>
      </w:pPr>
      <w:r>
        <w:t>Klimatisierung: Im Sommer 2023 erhoehter Verbrauch aufgrund Hitzewelle (durchschnittlich +1,8 °C gegenueber 10-Jahres-Mittel).</w:t>
      </w:r>
    </w:p>
    <w:p>
      <w:pPr>
        <w:pStyle w:val="ListBullet"/>
      </w:pPr>
      <w:r>
        <w:t>Sicherheit: Erhoehter Aufwand wegen 24/7-Werkschutz und Erweiterung Zaehlertelematik / Kameraueberwachung im Aussenbereich.</w:t>
      </w:r>
    </w:p>
    <w:p>
      <w:pPr>
        <w:pStyle w:val="ListBullet"/>
      </w:pPr>
      <w:r>
        <w:t>Reinigung: Tarifabschluss IG BAU sorgte fuer + 6,1 % Lohnerhoehung der Reinigungsdienste; gegenwirkt durch Wechsel zu Anbieter Sasse Gebaeudemanagement GmbH zum 1.7.2023.</w:t>
      </w:r>
    </w:p>
    <w:p>
      <w:pPr>
        <w:pStyle w:val="Heading3"/>
      </w:pPr>
      <w:r>
        <w:t>Anlagen / Belege</w:t>
      </w:r>
    </w:p>
    <w:p>
      <w:r>
        <w:t>Belegeinsicht ist nach vorheriger Terminvereinbarung mit dem Property Manager moeglich. Ein elektronischer Auszug der Originalrechnungen kann auf Anforderung per verschluesseltem Datenaustausch (SFTP/Drees-&amp;-Sommer-Portal) bereitgestellt werden. Die Abrechnung wurde durch die interne Revision (Andreas Buehler, Chief Audit Executive) stichprobenartig geprueft (Pruefungsbericht NK-AB-2023 vom Maerz 2024). Auswirkung auf Konzern-IFRS-Abschluss: Verbuchung der Mehrbelastung in GuV-Position »Sonstige betriebliche Aufwendungen«.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