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Wertheimer Strasse 12, 74076 Heilbronn  |  HRB 221456, Amtsgericht Heilbronn</w:t>
      </w:r>
    </w:p>
    <w:p>
      <w:r>
        <w:t>────────────────────────────────────────────────────────────────────────────────</w:t>
      </w:r>
    </w:p>
    <w:p>
      <w:pPr>
        <w:pStyle w:val="Heading2"/>
      </w:pPr>
      <w:r>
        <w:t>Nachtragsvereinbarung Nr. 1 zum Mietvertrag – REG Werk Heilbronn</w:t>
      </w:r>
    </w:p>
    <w:p>
      <w:pPr>
        <w:jc w:val="center"/>
      </w:pPr>
      <w:r>
        <w:t>Datum: 15. November 2022; Mietobjekt Wertheimer Strasse 12, 74076 Heilbronn (Industriegebiet Heilbronn-Boeckingen)</w:t>
      </w:r>
    </w:p>
    <w:p/>
    <w:p>
      <w:pPr>
        <w:pStyle w:val="Heading3"/>
      </w:pPr>
      <w:r>
        <w:t>Praeambel</w:t>
      </w:r>
    </w:p>
    <w:p>
      <w:r>
        <w:t>Zwischen dem Vermieter (Vermieter siehe Hauptvertrag) und dem Mieter (Brennhagen Elektronik GmbH (REG), Wertheimer Strasse 12, 74076 Heilbronn) wurde am 1. Januar 2020 ein gewerblicher Mietvertrag ueber das Objekt »REG Werk Heilbronn« geschlossen (»Hauptvertrag«). Mit diesem Nachtrag Nr. 1 werden einzelne Regelungen des Hauptvertrages angepasst. Anlass: Klarstellung Verrechnungssystematik REA-REG (Eigentum bei REG) und Anpassung der Bauleihe-Konditionen mit der Stadt Heilbronn. Der Hauptvertrag bleibt im Uebrigen unveraendert in Kraft.</w:t>
      </w:r>
    </w:p>
    <w:p>
      <w:pPr>
        <w:pStyle w:val="Heading3"/>
      </w:pPr>
      <w:r>
        <w:t>Gegenstand des Nachtrags</w:t>
      </w:r>
    </w:p>
    <w:p>
      <w:pPr>
        <w:pStyle w:val="Heading4"/>
      </w:pPr>
      <w:r>
        <w:t>§ 1 Anpassung des Mietzinses</w:t>
      </w:r>
    </w:p>
    <w:p>
      <w:r>
        <w:rPr>
          <w:b/>
        </w:rPr>
        <w:t xml:space="preserve">(1) </w:t>
      </w:r>
      <w:r>
        <w:t>Mit Wirkung zum 1. Januar 2023 wird die Jahresnettomiete um 4.5 % angepasst. Anlass ist die ueblicherweise im Hauptvertrag § 3 vereinbarte Indexanpassung gemaess Verbraucherpreisindex (VPI) des Statistischen Bundesamtes / lokales Aequivalent.</w:t>
      </w:r>
    </w:p>
    <w:p>
      <w:r>
        <w:rPr>
          <w:b/>
        </w:rPr>
        <w:t xml:space="preserve">(2) </w:t>
      </w:r>
      <w:r>
        <w:t>Neue Jahresnettomiete: 2.758.800 EUR</w:t>
      </w:r>
    </w:p>
    <w:p>
      <w:r>
        <w:rPr>
          <w:b/>
        </w:rPr>
        <w:t xml:space="preserve">(3) </w:t>
      </w:r>
      <w:r>
        <w:t>Die Nebenkostenvorauszahlung wird im gleichen Schritt um 5.5 % angepasst aufgrund gestiegener Energiekosten (Erdgas, Fernwaerme, Strom) sowie hoeherer Aufwendungen fuer Sicherheit und Reinigung.</w:t>
      </w:r>
    </w:p>
    <w:p>
      <w:pPr>
        <w:pStyle w:val="Heading4"/>
      </w:pPr>
      <w:r>
        <w:t>§ 2 Sonstige Anpassungen</w:t>
      </w:r>
    </w:p>
    <w:p>
      <w:r>
        <w:rPr>
          <w:b/>
        </w:rPr>
        <w:t xml:space="preserve">(1) </w:t>
      </w:r>
      <w:r>
        <w:t>Anlass des Nachtrags im Detail: Klarstellung Verrechnungssystematik REA-REG (Eigentum bei REG) und Anpassung der Bauleihe-Konditionen mit der Stadt Heilbronn</w:t>
      </w:r>
    </w:p>
    <w:p>
      <w:r>
        <w:rPr>
          <w:b/>
        </w:rPr>
        <w:t xml:space="preserve">(2) </w:t>
      </w:r>
      <w:r>
        <w:t>Eine Klarstellung der Regelung zur Photovoltaik-Aufdach-Nutzung wird vereinbart: Der Mieter ist berechtigt, eigene PV-Anlagen unter Beachtung der statischen Lastreserven der Dachkonstruktion zu errichten; der Vermieter erhaelt eine jaehrliche Pacht in Hoehe von 0,50 EUR/kWp.</w:t>
      </w:r>
    </w:p>
    <w:p>
      <w:r>
        <w:rPr>
          <w:b/>
        </w:rPr>
        <w:t xml:space="preserve">(3) </w:t>
      </w:r>
      <w:r>
        <w:t>Klarstellung Service-Level: Reaktionszeit Stoerung Heizung/Klima &lt; 4 Stunden werktags (Mo-Fr 07:00-18:00); aussertarifliche Stoerungen &lt; 24 Stunden.</w:t>
      </w:r>
    </w:p>
    <w:p>
      <w:pPr>
        <w:pStyle w:val="Heading4"/>
      </w:pPr>
      <w:r>
        <w:t>§ 3 Schlussbestimmungen</w:t>
      </w:r>
    </w:p>
    <w:p>
      <w:r>
        <w:rPr>
          <w:b/>
        </w:rPr>
        <w:t xml:space="preserve">(1) </w:t>
      </w:r>
      <w:r>
        <w:t>Soweit nichts Abweichendes vereinbart wird, bleibt der Hauptvertrag vom 1. Januar 2020 in vollem Umfang in Kraft. Die salvatorische Klausel und die Schriftformklausel des Hauptvertrages gelten entsprechend.</w:t>
      </w:r>
    </w:p>
    <w:p>
      <w:r>
        <w:rPr>
          <w:b/>
        </w:rPr>
        <w:t xml:space="preserve">(2) </w:t>
      </w:r>
      <w:r>
        <w:t>Dieser Nachtrag wurde in zwei Exemplaren erstellt; jede Partei erhaelt ein Original. Die Anlage 1 (Neue Mietpreiskalkulation) ist Bestandteil dieses Nachtrags.</w:t>
      </w:r>
    </w:p>
    <w:p>
      <w:pPr>
        <w:pStyle w:val="Heading3"/>
      </w:pPr>
      <w:r>
        <w:t>Unterschriften</w:t>
      </w:r>
    </w:p>
    <w:p>
      <w:r>
        <w:t>Ort, Datum: Heilbronn, den 15. November 2022</w:t>
      </w:r>
    </w:p>
    <w:p>
      <w:r>
        <w:t>_________________________            _________________________</w:t>
        <w:br/>
        <w:t>Sabine Hartlieb                          Vermieter-Vertretung</w:t>
        <w:br/>
        <w:t>Real Estate Officer                          Property Manager</w:t>
        <w:br/>
        <w:t>Konzern Brennhagen                       Vermieter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