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 (RPL)</w:t>
      </w:r>
    </w:p>
    <w:p>
      <w:r>
        <w:rPr>
          <w:sz w:val="18"/>
        </w:rPr>
        <w:t>KSSE Strefa Aktywnosci Gospodarczej, ul. Wegierska 18, 40-203 Katowice (PL)  |  KRS 0000412376,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2022 – RPL Werk Katowice</w:t>
      </w:r>
    </w:p>
    <w:p>
      <w:pPr>
        <w:jc w:val="center"/>
      </w:pPr>
      <w:r>
        <w:t>Abrechnungszeitraum: 01.01.2022 – 31.12.2022</w:t>
      </w:r>
    </w:p>
    <w:p/>
    <w:p>
      <w:pPr>
        <w:pStyle w:val="Heading3"/>
      </w:pPr>
      <w:r>
        <w:t>Mietobjekt und Vertragsbezug</w:t>
      </w:r>
    </w:p>
    <w:p>
      <w:r>
        <w:t>Mietobjekt: RPL Werk Katowice, KSSE Strefa Aktywnosci Gospodarczej, ul. Wegierska 18, 40-203 Katowice (Polen). Mieter: Brennhagen Polska Sp. z o.o. (RPL). Vermieter: Katowicka Specjalna Strefa Ekonomiczna S.A., ul. Wojewodzka 42, 40-026 Katowice. Grundlage: Gewerblicher Mietvertrag vom 1. Januar 2020, § 3 (3) (Nebenkostenabrechnung) i.V.m. Anlage 2 (Nebenkostenkatalog). Verteilerschluessel grundsaetzlich nach angemieteter Flaeche (18.500 m² Produktions-/Lagerhalle + 1.200 m² Buero);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107.712</w:t>
            </w:r>
          </w:p>
        </w:tc>
        <w:tc>
          <w:tcPr>
            <w:tcW w:type="dxa" w:w="2160"/>
          </w:tcPr>
          <w:p>
            <w:r>
              <w:t>105.558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39.168</w:t>
            </w:r>
          </w:p>
        </w:tc>
        <w:tc>
          <w:tcPr>
            <w:tcW w:type="dxa" w:w="2160"/>
          </w:tcPr>
          <w:p>
            <w:r>
              <w:t>38.385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29.376</w:t>
            </w:r>
          </w:p>
        </w:tc>
        <w:tc>
          <w:tcPr>
            <w:tcW w:type="dxa" w:w="2160"/>
          </w:tcPr>
          <w:p>
            <w:r>
              <w:t>28.788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48.960</w:t>
            </w:r>
          </w:p>
        </w:tc>
        <w:tc>
          <w:tcPr>
            <w:tcW w:type="dxa" w:w="2160"/>
          </w:tcPr>
          <w:p>
            <w:r>
              <w:t>47.981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44.064</w:t>
            </w:r>
          </w:p>
        </w:tc>
        <w:tc>
          <w:tcPr>
            <w:tcW w:type="dxa" w:w="2160"/>
          </w:tcPr>
          <w:p>
            <w:r>
              <w:t>43.183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19.584</w:t>
            </w:r>
          </w:p>
        </w:tc>
        <w:tc>
          <w:tcPr>
            <w:tcW w:type="dxa" w:w="2160"/>
          </w:tcPr>
          <w:p>
            <w:r>
              <w:t>19.192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34.272</w:t>
            </w:r>
          </w:p>
        </w:tc>
        <w:tc>
          <w:tcPr>
            <w:tcW w:type="dxa" w:w="2160"/>
          </w:tcPr>
          <w:p>
            <w:r>
              <w:t>33.587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29.376</w:t>
            </w:r>
          </w:p>
        </w:tc>
        <w:tc>
          <w:tcPr>
            <w:tcW w:type="dxa" w:w="2160"/>
          </w:tcPr>
          <w:p>
            <w:r>
              <w:t>28.788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39.168</w:t>
            </w:r>
          </w:p>
        </w:tc>
        <w:tc>
          <w:tcPr>
            <w:tcW w:type="dxa" w:w="2160"/>
          </w:tcPr>
          <w:p>
            <w:r>
              <w:t>38.385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48.960</w:t>
            </w:r>
          </w:p>
        </w:tc>
        <w:tc>
          <w:tcPr>
            <w:tcW w:type="dxa" w:w="2160"/>
          </w:tcPr>
          <w:p>
            <w:r>
              <w:t>47.981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489.600</w:t>
            </w:r>
          </w:p>
        </w:tc>
        <w:tc>
          <w:tcPr>
            <w:tcW w:type="dxa" w:w="2160"/>
          </w:tcPr>
          <w:p>
            <w:r>
              <w:t>479.808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2022: 460.800 EUR (12 Monatsraten zu je 38.400 EUR).</w:t>
      </w:r>
    </w:p>
    <w:p>
      <w:r>
        <w:t>Anteilige Gesamtkosten Mieter: 479.808 EUR.</w:t>
      </w:r>
    </w:p>
    <w:p>
      <w:r>
        <w:t>Saldo zugunsten Vermieter (Nachzahlung Mieter): 19.008 EUR. Die Saldoverrechnung erfolgt mit der naechsten Monatsmiete (Februar 2023);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2022: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2022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1.7.2022.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NK-AB-2022 vom Maerz 2023).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