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Due-Diligence-Bericht (konsolidiert) – Brennhagen (Shanghai) Co. Ltd. (2021)</w:t>
      </w:r>
    </w:p>
    <w:p>
      <w:pPr>
        <w:jc w:val="center"/>
      </w:pPr>
      <w:r>
        <w:t>Financial / Commercial / Legal / Tax / Technical DD – Stand: pre-Closing 2021</w:t>
      </w:r>
    </w:p>
    <w:p/>
    <w:p>
      <w:pPr>
        <w:pStyle w:val="Heading3"/>
      </w:pPr>
      <w:r>
        <w:t>Transaktionsgegenstand</w:t>
      </w:r>
    </w:p>
    <w:p>
      <w:r>
        <w:t>Zielgesellschaft: Brennhagen (Shanghai) Co. Ltd. (Konsolidierung JV-Restanteil 35 % von Yangtze Electronics).</w:t>
        <w:br/>
        <w:t>Sitz: Shanghai (CN), 88 Pudong Avenue, Building B, 200120 Shanghai.</w:t>
        <w:br/>
        <w:t>Registereintrag: Unified Social Credit Code 91310115MA1FL42Q38.</w:t>
      </w:r>
    </w:p>
    <w:p>
      <w:r>
        <w:t>Transaktionstyp: Equity Transfer Agreement (ETA) – Erwerb verbleibender 35 % JV-Anteile zur Vollkonsolidierung.</w:t>
        <w:br/>
        <w:t>Kaufpreis-Indikation: EUR 8,4 Mio. (RMB 65 Mio. zum Stichtagskurs 1 EUR = 7,75 RMB) zzgl. Keine (Festpreis-Strukturierung).</w:t>
        <w:br/>
        <w:t>Geplanter Signing-Termin: 8. Maerz 2021; Closing: 21. Juni 2021 (nach Anmeldung MOFCOM Shanghai und SAFE-Genehmigung Kapitalruekfluss).</w:t>
      </w:r>
    </w:p>
    <w:p>
      <w:r>
        <w:t>Strategische Logik / Deal-Rationale: Konsolidierung des Asien-Vertriebs unter alleiniger Kontrolle; Schutz vor Wettbewerbsverhalten des JV-Partners; Vorbereitung Ausbau Produktion BMS-12 China.</w:t>
      </w:r>
    </w:p>
    <w:p>
      <w:pPr>
        <w:pStyle w:val="Heading3"/>
      </w:pPr>
      <w:r>
        <w:t>DD-Beraterteam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Workstream</w:t>
            </w:r>
          </w:p>
        </w:tc>
        <w:tc>
          <w:tcPr>
            <w:tcW w:type="dxa" w:w="2880"/>
          </w:tcPr>
          <w:p>
            <w:r>
              <w:t>Berater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</w:tr>
      <w:tr>
        <w:tc>
          <w:tcPr>
            <w:tcW w:type="dxa" w:w="2880"/>
          </w:tcPr>
          <w:p>
            <w:r>
              <w:t>M&amp;A-Lead / Banker</w:t>
            </w:r>
          </w:p>
        </w:tc>
        <w:tc>
          <w:tcPr>
            <w:tcW w:type="dxa" w:w="2880"/>
          </w:tcPr>
          <w:p>
            <w:r>
              <w:t>Goldman Sachs Frankfurt</w:t>
            </w:r>
          </w:p>
        </w:tc>
        <w:tc>
          <w:tcPr>
            <w:tcW w:type="dxa" w:w="2880"/>
          </w:tcPr>
          <w:p>
            <w:r>
              <w:t>Dr. Klaus Bessler (Senior Banker)</w:t>
            </w:r>
          </w:p>
        </w:tc>
      </w:tr>
      <w:tr>
        <w:tc>
          <w:tcPr>
            <w:tcW w:type="dxa" w:w="2880"/>
          </w:tcPr>
          <w:p>
            <w:r>
              <w:t>Legal DD</w:t>
            </w:r>
          </w:p>
        </w:tc>
        <w:tc>
          <w:tcPr>
            <w:tcW w:type="dxa" w:w="2880"/>
          </w:tcPr>
          <w:p>
            <w:r>
              <w:t>Hengeler Mueller (Frankfurt) – Local Counsel: King &amp; Wood Mallesons Shanghai</w:t>
            </w:r>
          </w:p>
        </w:tc>
        <w:tc>
          <w:tcPr>
            <w:tcW w:type="dxa" w:w="2880"/>
          </w:tcPr>
          <w:p>
            <w:r>
              <w:t>Hengeler Mueller Team</w:t>
            </w:r>
          </w:p>
        </w:tc>
      </w:tr>
      <w:tr>
        <w:tc>
          <w:tcPr>
            <w:tcW w:type="dxa" w:w="2880"/>
          </w:tcPr>
          <w:p>
            <w:r>
              <w:t>Financial DD</w:t>
            </w:r>
          </w:p>
        </w:tc>
        <w:tc>
          <w:tcPr>
            <w:tcW w:type="dxa" w:w="2880"/>
          </w:tcPr>
          <w:p>
            <w:r>
              <w:t>KPMG Deal Advisory Shanghai – Lead Partner Frank Liu</w:t>
            </w:r>
          </w:p>
        </w:tc>
        <w:tc>
          <w:tcPr>
            <w:tcW w:type="dxa" w:w="2880"/>
          </w:tcPr>
          <w:p>
            <w:r>
              <w:t>KPMG Deal Advisory</w:t>
            </w:r>
          </w:p>
        </w:tc>
      </w:tr>
      <w:tr>
        <w:tc>
          <w:tcPr>
            <w:tcW w:type="dxa" w:w="2880"/>
          </w:tcPr>
          <w:p>
            <w:r>
              <w:t>Tax DD</w:t>
            </w:r>
          </w:p>
        </w:tc>
        <w:tc>
          <w:tcPr>
            <w:tcW w:type="dxa" w:w="2880"/>
          </w:tcPr>
          <w:p>
            <w:r>
              <w:t>PwC Tax (Shanghai) – Lead Tax Director Wendy Chen</w:t>
            </w:r>
          </w:p>
        </w:tc>
        <w:tc>
          <w:tcPr>
            <w:tcW w:type="dxa" w:w="2880"/>
          </w:tcPr>
          <w:p>
            <w:r>
              <w:t>PwC Tax Team</w:t>
            </w:r>
          </w:p>
        </w:tc>
      </w:tr>
      <w:tr>
        <w:tc>
          <w:tcPr>
            <w:tcW w:type="dxa" w:w="2880"/>
          </w:tcPr>
          <w:p>
            <w:r>
              <w:t>Technical / Commercial DD</w:t>
            </w:r>
          </w:p>
        </w:tc>
        <w:tc>
          <w:tcPr>
            <w:tcW w:type="dxa" w:w="2880"/>
          </w:tcPr>
          <w:p>
            <w:r>
              <w:t>Roland Berger Shanghai – Lead Partner Denis Depoux</w:t>
            </w:r>
          </w:p>
        </w:tc>
        <w:tc>
          <w:tcPr>
            <w:tcW w:type="dxa" w:w="2880"/>
          </w:tcPr>
          <w:p>
            <w:r>
              <w:t>Roland Berger</w:t>
            </w:r>
          </w:p>
        </w:tc>
      </w:tr>
      <w:tr>
        <w:tc>
          <w:tcPr>
            <w:tcW w:type="dxa" w:w="2880"/>
          </w:tcPr>
          <w:p>
            <w:r>
              <w:t>Strategie-DD intern</w:t>
            </w:r>
          </w:p>
        </w:tc>
        <w:tc>
          <w:tcPr>
            <w:tcW w:type="dxa" w:w="2880"/>
          </w:tcPr>
          <w:p>
            <w:r>
              <w:t>Brennhagen BD/M&amp;A</w:t>
            </w:r>
          </w:p>
        </w:tc>
        <w:tc>
          <w:tcPr>
            <w:tcW w:type="dxa" w:w="2880"/>
          </w:tcPr>
          <w:p>
            <w:r>
              <w:t>Stefan Richter (Vorstand BD ab 4/2023)</w:t>
            </w:r>
          </w:p>
        </w:tc>
      </w:tr>
    </w:tbl>
    <w:p>
      <w:pPr>
        <w:pStyle w:val="Heading3"/>
      </w:pPr>
      <w:r>
        <w:t>Financial Due Diligence (KPMG)</w:t>
      </w:r>
    </w:p>
    <w:p>
      <w:r>
        <w:t>Untersuchungsgegenstand: Quality of Earnings (QoE) FY 2016–2018 (Czech / Hungary) bzw. FY 2018–2020 (Shanghai), Working Capital, Net Debt-Definition, Cash-Conversion, Auftragsbestand und Kunden-Konzentration. Adjustments QoE: Bereinigung um Einmaleffekte (Restrukturierung 2017, FX-Sondereffekte, Management-Boni). Reported EBITDA der Zielgesellschaft: EUR 2,1 Mio. (FY 2020; Marge 7,4 %); Bereinigtes EBITDA: +EUR 0,8 Mio. (ueber QoE). Umsatz: EUR 28,4 Mio. (FY 2020). Working-Capital-Normalisierung: Inventory-Tage 92, DSO 64, DPO 71. Net-Debt-Stichtag: lokale Bankverbindlichkeiten EUR 3,8 Mio., Pensionsrueckstellungen EUR 1,2 Mio., Operating Lease EUR 0,9 Mio.</w:t>
      </w:r>
    </w:p>
    <w:p>
      <w:r>
        <w:t>Mitarbeitende: 298 Mitarbeitende (Stand Closing). Personalintensive Bereiche: Produktion (78 %), Entwicklung (12 %), Verwaltung (10 %). Personal-Risiken: Tarifvertrag mit lokaler Gewerkschaft (CZ/HU); Loehne unter Bundesdurchschnitt.</w:t>
      </w:r>
    </w:p>
    <w:p>
      <w:pPr>
        <w:pStyle w:val="Heading3"/>
      </w:pPr>
      <w:r>
        <w:t>Commercial DD (Roland Berger)</w:t>
      </w:r>
    </w:p>
    <w:p>
      <w:r>
        <w:t>Marktposition: Top-5-Anbieter im jeweiligen lokalen Segment; Kundenkonzentration moderat (Top-3-Kunden = 52 % Umsatz). Wachstumsperspektive: 5,8 % CAGR (Marktstudie Roland Berger 2018/2019). Synergie-Potenzial mit Brennhagen-Plattform: Cross-Selling ICP-3/ADAS, Einkaufs-Bundling Halbleiter, Konzern-IT-Migration. Synergien quantifiziert: Run-Rate EUR 2,1 Mio./Jahr ab Jahr 3 (vor Integrationskosten EUR 3,8 Mio. einmalig). Wettbewerbsanalyse: Hauptwettbewerber Continental Automotive Hungary, Robert Bosch CZ, Marquardt CZ. Wettbewerbsvorteil Target: Naehe zu OEM-Werken (Skoda Mlada Boleslav, Audi Gyoer, VW Bratislava).</w:t>
      </w:r>
    </w:p>
    <w:p>
      <w:pPr>
        <w:pStyle w:val="Heading3"/>
      </w:pPr>
      <w:r>
        <w:t>Legal DD (Hengeler Mueller)</w:t>
      </w:r>
    </w:p>
    <w:p>
      <w:r>
        <w:t>Geprueft: Gesellschaftsrechtliche Verhaeltnisse (vollstaendige Eigentumskette), wesentliche Vertraege (Top-15 Kunden- und Lieferantenvertraege, Mietvertraege, Lizenzvereinbarungen), Arbeitsrecht (Tarifvertrag, Sozialplan, individuelle Schluesselpersonenvertraege), Compliance (Sanktions-Screening, Anti-Korruption, GDPR/AVV), Litigation (3 anhaengige Verfahren, max. Exposure EUR 0,6 Mio.), IP-Rechte (12 angemeldete Patente, 4 erteilt). Wesentliche Findings: Change-of-Control-Klauseln in 4 Kundenvertraegen (Audi, Skoda, Continental, ZF) erfordern Konsent oder Notification. Risikoeinschaetzung: niedrig bis mittel; Mitigations in SPA verankert (Garantien, Freistellungen, W&amp;I).</w:t>
      </w:r>
    </w:p>
    <w:p>
      <w:pPr>
        <w:pStyle w:val="Heading3"/>
      </w:pPr>
      <w:r>
        <w:t>Tax DD (PwC)</w:t>
      </w:r>
    </w:p>
    <w:p>
      <w:r>
        <w:t>Geprueft: Koerperschaftsteuer (CIT), Umsatzsteuer (VAT/MwSt), Lohnsteuer, Verrechnungspreise (TP). Steuerstrukturierung: Equity Transfer Tax 10 % auf Veraeusserungsgewinn (China-Withholding) durch Verkaeufer zu tragen; Steuerklausel im ETA verankert.. Wesentliche Findings: (a) TP-Dokumentation Local File ueber 2 Jahre nachzubessern; (b) Vorsteuer-Abzug aus Konzern-Cost-Recharges in 2 Jahren formal mangelhaft (Risikoexposure EUR 0,4 Mio., in SPA als spezifische Freistellung); (c) keine wesentlichen Tax Holidays oder Foerdermittel mit Clawback-Risiko.</w:t>
      </w:r>
    </w:p>
    <w:p>
      <w:pPr>
        <w:pStyle w:val="Heading3"/>
      </w:pPr>
      <w:r>
        <w:t>Technical / Operational DD</w:t>
      </w:r>
    </w:p>
    <w:p>
      <w:r>
        <w:t>Produktionsanlagen: Maschinenpark Durchschnittsalter 8,4 Jahre; CAPEX-Nachholbedarf EUR 2,8 Mio. (SMD-Linien-Modernisierung). IATF-16949-Zertifizierung gueltig. ASPICE-Reife L2 (Czech), L1 (Hungary), nicht relevant (Shanghai). EHS: keine Altlasten-Befunde; Umweltgutachten (Phase-I-ESA) durch ERM ohne wesentliche Findings. IT: Migration auf Brennhagen-SAP-S/4HANA-Template binnen 18 Monaten geplant; Migrationsbudget EUR 1,4 Mio.</w:t>
      </w:r>
    </w:p>
    <w:p>
      <w:pPr>
        <w:pStyle w:val="Heading3"/>
      </w:pPr>
      <w:r>
        <w:t>Bewertung / Kaufpreis-Bruecke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Enterprise Value (EV)</w:t>
            </w:r>
          </w:p>
        </w:tc>
        <w:tc>
          <w:tcPr>
            <w:tcW w:type="dxa" w:w="4320"/>
          </w:tcPr>
          <w:p>
            <w:r>
              <w:t>EUR 8,4 Mio. (RMB 65 Mio. zum Stichtagskurs 1 EUR = 7,75 RMB)</w:t>
            </w:r>
          </w:p>
        </w:tc>
      </w:tr>
      <w:tr>
        <w:tc>
          <w:tcPr>
            <w:tcW w:type="dxa" w:w="4320"/>
          </w:tcPr>
          <w:p>
            <w:r>
              <w:t>./. Net Debt (Stichtag)</w:t>
            </w:r>
          </w:p>
        </w:tc>
        <w:tc>
          <w:tcPr>
            <w:tcW w:type="dxa" w:w="4320"/>
          </w:tcPr>
          <w:p>
            <w:r>
              <w:t>EUR 5,9 Mio.</w:t>
            </w:r>
          </w:p>
        </w:tc>
      </w:tr>
      <w:tr>
        <w:tc>
          <w:tcPr>
            <w:tcW w:type="dxa" w:w="4320"/>
          </w:tcPr>
          <w:p>
            <w:r>
              <w:t>+/- Working-Capital-Anpassung (Target NWC)</w:t>
            </w:r>
          </w:p>
        </w:tc>
        <w:tc>
          <w:tcPr>
            <w:tcW w:type="dxa" w:w="4320"/>
          </w:tcPr>
          <w:p>
            <w:r>
              <w:t>EUR 0,3 Mio.</w:t>
            </w:r>
          </w:p>
        </w:tc>
      </w:tr>
      <w:tr>
        <w:tc>
          <w:tcPr>
            <w:tcW w:type="dxa" w:w="4320"/>
          </w:tcPr>
          <w:p>
            <w:r>
              <w:t>./. Pensionsrueckstellungen</w:t>
            </w:r>
          </w:p>
        </w:tc>
        <w:tc>
          <w:tcPr>
            <w:tcW w:type="dxa" w:w="4320"/>
          </w:tcPr>
          <w:p>
            <w:r>
              <w:t>EUR 1,2 Mio.</w:t>
            </w:r>
          </w:p>
        </w:tc>
      </w:tr>
      <w:tr>
        <w:tc>
          <w:tcPr>
            <w:tcW w:type="dxa" w:w="4320"/>
          </w:tcPr>
          <w:p>
            <w:r>
              <w:t>= Equity Value (vor Earn-Out)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+ Earn-Out (max.)</w:t>
            </w:r>
          </w:p>
        </w:tc>
        <w:tc>
          <w:tcPr>
            <w:tcW w:type="dxa" w:w="4320"/>
          </w:tcPr>
          <w:p>
            <w:r>
              <w:t>Keine (Festpreis-Strukturierung)</w:t>
            </w:r>
          </w:p>
        </w:tc>
      </w:tr>
      <w:tr>
        <w:tc>
          <w:tcPr>
            <w:tcW w:type="dxa" w:w="4320"/>
          </w:tcPr>
          <w:p>
            <w:r>
              <w:t>= Total Purchase Consideration (max.)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3"/>
      </w:pPr>
      <w:r>
        <w:t>Empfehlung</w:t>
      </w:r>
    </w:p>
    <w:p>
      <w:r>
        <w:t>Das DD-Team empfiehlt den Erwerb zu den verhandelten Konditionen. Restrisiken sind durch (a) W&amp;I-Versicherungspolice (Versicherer AIG, Versicherungssumme EUR 8 Mio., Selbstbehalt 0,5 % EV), (b) spezifische Verkaeufer-Freistellungen (Tax, Litigation), (c) Earn-Out-Struktur und (d) Goodwill-Werthaltigkeits-Tests (jaehrlich gemaess IAS 36) abgedeckt. PPA gemaess IFRS 3 ergibt: EUR 2,1 Mio. Goodwill. Vorstand und Aufsichtsrat wurden gemaess Bericht in Sitzung vorab informiert; AR-Zustimmung wird im naechsten Plenum eingeholt.</w:t>
      </w:r>
    </w:p>
    <w:p>
      <w:pPr>
        <w:pStyle w:val="Heading3"/>
      </w:pPr>
      <w:r>
        <w:t>Verteiler / Unterschriften</w:t>
      </w:r>
    </w:p>
    <w:p>
      <w:r>
        <w:t>Ort, Datum: Frankfurt am Main, den 8. Maerz 2021</w:t>
      </w:r>
    </w:p>
    <w:p>
      <w:r>
        <w:t>_________________________            _________________________</w:t>
        <w:br/>
        <w:t>Stefan Richter                          Dr. Klaus Bessler</w:t>
        <w:br/>
        <w:t>Vorstand BD / M&amp;A (intern Projektleitung)                          Senior Banker, Goldman Sachs Frankfurt</w:t>
        <w:br/>
        <w:t>Brennhagen Elektronik AG                       Goldman Sachs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