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#001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14. November 2023.</w:t>
      </w:r>
    </w:p>
    <w:p>
      <w:pPr>
        <w:pStyle w:val="Heading3"/>
      </w:pPr>
      <w:r>
        <w:t>Untersuchungsgegenstand (Workstream)</w:t>
      </w:r>
    </w:p>
    <w:p>
      <w:r>
        <w:t>Fokus dieses Arbeitspapiers: Datenraum-Eroeffnung, Q&amp;A-Setup, Top-Kundenvertrags-Review.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14. November 2023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