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#003 – Strategischer Prozess 2023/2024</w:t>
      </w:r>
    </w:p>
    <w:p>
      <w:pPr>
        <w:jc w:val="center"/>
      </w:pPr>
      <w:r>
        <w:t>Workstream-Findings | Target-Code T-001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3 im Rahmen des strategischen Prozesses 2023/2024 der Brennhagen Elektronik AG. Ziel: Vorpruefung des Pipeline-Targets T-001 (BMS-Soft GmbH, Aachen). Bearbeitungsverantwortung: Stefan Richter (Vorstand BD/M&amp;A); externe Unterstuetzung: Goldman Sachs Frankfurt (Lead Banker Dr. Klaus Bessler), Roland Berger Muenchen (Lead Partner Dr. Stefan Vogel). Bearbeitungsstand: 1. Maerz 2024.</w:t>
      </w:r>
    </w:p>
    <w:p>
      <w:pPr>
        <w:pStyle w:val="Heading3"/>
      </w:pPr>
      <w:r>
        <w:t>Untersuchungsgegenstand (Workstream)</w:t>
      </w:r>
    </w:p>
    <w:p>
      <w:r>
        <w:t>Fokus dieses Arbeitspapiers: QoE-Light KPMG / EBITDA-Bridge / Pro-Forma-Adjustments.</w:t>
      </w:r>
    </w:p>
    <w:p>
      <w:r>
        <w:t>Hintergrund: Das Pipeline-Target BMS-Soft GmbH liefert (FY 2023): Umsatz EUR 14,8 Mio. (FY 2023), EBITDA EUR 2,1 Mio.. Strategisches Thema: Embedded BMS-Software, Modell-basierte Entwicklung (Matlab/Simulink). Deal-Rationale: Vertikale Integration BMS-12 Software-Stack; Reduktion externer Lizenzen.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1. Maerz 2024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»NEXT-T-001«),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