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#004 – Strategischer Prozess 2023/2024</w:t>
      </w:r>
    </w:p>
    <w:p>
      <w:pPr>
        <w:jc w:val="center"/>
      </w:pPr>
      <w:r>
        <w:t>Workstream-Findings | Target-Code T-002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4 im Rahmen des strategischen Prozesses 2023/2024 der Brennhagen Elektronik AG. Ziel: Vorpruefung des Pipeline-Targets T-002 (SensoFusion GmbH, Karlsruhe). Bearbeitungsverantwortung: Stefan Richter (Vorstand BD/M&amp;A); externe Unterstuetzung: Goldman Sachs Frankfurt (Lead Banker Dr. Klaus Bessler), Roland Berger Muenchen (Lead Partner Dr. Stefan Vogel). Bearbeitungsstand: 5. Dezember 2023.</w:t>
      </w:r>
    </w:p>
    <w:p>
      <w:pPr>
        <w:pStyle w:val="Heading3"/>
      </w:pPr>
      <w:r>
        <w:t>Untersuchungsgegenstand (Workstream)</w:t>
      </w:r>
    </w:p>
    <w:p>
      <w:r>
        <w:t>Fokus dieses Arbeitspapiers: Commercial-Marktanalyse Roland Berger / Wettbewerber-Benchmark.</w:t>
      </w:r>
    </w:p>
    <w:p>
      <w:r>
        <w:t>Hintergrund: Das Pipeline-Target SensoFusion GmbH liefert (FY 2023): Umsatz EUR 22,4 Mio. (FY 2023), EBITDA EUR 3,8 Mio.. Strategisches Thema: Sensorfusion Radar/Lidar fuer Level-3-ADAS. Deal-Rationale: Ergaenzung ADAS-V4D-Portfolio mit Lidar-Fusion.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5. Dezember 2023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»NEXT-T-002«),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