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#005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5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12. Dezember 2023.</w:t>
      </w:r>
    </w:p>
    <w:p>
      <w:pPr>
        <w:pStyle w:val="Heading3"/>
      </w:pPr>
      <w:r>
        <w:t>Untersuchungsgegenstand (Workstream)</w:t>
      </w:r>
    </w:p>
    <w:p>
      <w:r>
        <w:t>Fokus dieses Arbeitspapiers: Legal-Findings Hengeler Mueller / Change-of-Control / Litigation.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12. Dezember 2023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