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#006 – Strategischer Prozess 2023/2024</w:t>
      </w:r>
    </w:p>
    <w:p>
      <w:pPr>
        <w:jc w:val="center"/>
      </w:pPr>
      <w:r>
        <w:t>Workstream-Findings | Target-Code T-003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6 im Rahmen des strategischen Prozesses 2023/2024 der Brennhagen Elektronik AG. Ziel: Vorpruefung des Pipeline-Targets T-003 (PowerSemi AG, Erlangen). Bearbeitungsverantwortung: Stefan Richter (Vorstand BD/M&amp;A); externe Unterstuetzung: Goldman Sachs Frankfurt (Lead Banker Dr. Klaus Bessler), Roland Berger Muenchen (Lead Partner Dr. Stefan Vogel). Bearbeitungsstand: 19. Dezember 2023.</w:t>
      </w:r>
    </w:p>
    <w:p>
      <w:pPr>
        <w:pStyle w:val="Heading3"/>
      </w:pPr>
      <w:r>
        <w:t>Untersuchungsgegenstand (Workstream)</w:t>
      </w:r>
    </w:p>
    <w:p>
      <w:r>
        <w:t>Fokus dieses Arbeitspapiers: Tax DD PwC / TP-Dokumentation / VAT-Recovery.</w:t>
      </w:r>
    </w:p>
    <w:p>
      <w:r>
        <w:t>Hintergrund: Das Pipeline-Target PowerSemi AG liefert (FY 2023): Umsatz EUR 38,1 Mio. (FY 2023), EBITDA EUR 5,9 Mio.. Strategisches Thema: SiC/GaN-Leistungselektronik fuer BEV-Inverter. Deal-Rationale: Vorwaertsintegration Inverter / Halbleiter-Souveraenitaet.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19. Dezember 2023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»NEXT-T-003«),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