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Due Diligence Arbeitspapier #009 – Strategischer Prozess 2023/2024</w:t>
      </w:r>
    </w:p>
    <w:p>
      <w:pPr>
        <w:jc w:val="center"/>
      </w:pPr>
      <w:r>
        <w:t>Workstream-Findings | Target-Code T-001 | Bearbeitung: Stefan Richter / Goldman Sachs</w:t>
      </w:r>
    </w:p>
    <w:p/>
    <w:p>
      <w:pPr>
        <w:pStyle w:val="Heading3"/>
      </w:pPr>
      <w:r>
        <w:t>Kontext und Bearbeitungsstand</w:t>
      </w:r>
    </w:p>
    <w:p>
      <w:r>
        <w:t>DD-Arbeitspapier Nr. 9 im Rahmen des strategischen Prozesses 2023/2024 der Brennhagen Elektronik AG. Ziel: Vorpruefung des Pipeline-Targets T-001 (BMS-Soft GmbH, Aachen). Bearbeitungsverantwortung: Stefan Richter (Vorstand BD/M&amp;A); externe Unterstuetzung: Goldman Sachs Frankfurt (Lead Banker Dr. Klaus Bessler), Roland Berger Muenchen (Lead Partner Dr. Stefan Vogel). Bearbeitungsstand: 16. Januar 2024.</w:t>
      </w:r>
    </w:p>
    <w:p>
      <w:pPr>
        <w:pStyle w:val="Heading3"/>
      </w:pPr>
      <w:r>
        <w:t>Untersuchungsgegenstand (Workstream)</w:t>
      </w:r>
    </w:p>
    <w:p>
      <w:r>
        <w:t>Fokus dieses Arbeitspapiers: HR DD / Schluesselpersonen / Tarifvertrag.</w:t>
      </w:r>
    </w:p>
    <w:p>
      <w:r>
        <w:t>Hintergrund: Das Pipeline-Target BMS-Soft GmbH liefert (FY 2023): Umsatz EUR 14,8 Mio. (FY 2023), EBITDA EUR 2,1 Mio.. Strategisches Thema: Embedded BMS-Software, Modell-basierte Entwicklung (Matlab/Simulink). Deal-Rationale: Vertikale Integration BMS-12 Software-Stack; Reduktion externer Lizenzen.</w:t>
      </w:r>
    </w:p>
    <w:p>
      <w:pPr>
        <w:pStyle w:val="Heading3"/>
      </w:pPr>
      <w:r>
        <w:t>Findings</w:t>
      </w:r>
    </w:p>
    <w:p>
      <w:pPr>
        <w:pStyle w:val="ListBullet"/>
      </w:pPr>
      <w:r>
        <w:t>Datenraum-Zugang am 16. Januar 2024 geoeffnet (Intralinks); aktuell 412 Dokumente indiziert, davon 218 als »priority« markiert.</w:t>
      </w:r>
    </w:p>
    <w:p>
      <w:pPr>
        <w:pStyle w:val="ListBullet"/>
      </w:pPr>
      <w:r>
        <w:t>Q&amp;A-Liste mit 47 offenen Fragen an Verkaeufer-Berater (Lazard / KPMG) versandt; Antworten erwartet binnen 5 Bankarbeitstagen.</w:t>
      </w:r>
    </w:p>
    <w:p>
      <w:pPr>
        <w:pStyle w:val="ListBullet"/>
      </w:pPr>
      <w:r>
        <w:t>Stichprobenpruefung Top-10-Kundenvertraege: 3 Vertraege mit Change-of-Control-Klausel identifiziert (Audi, Continental, ZF). Konsentfaehigkeit zu pruefen.</w:t>
      </w:r>
    </w:p>
    <w:p>
      <w:pPr>
        <w:pStyle w:val="ListBullet"/>
      </w:pPr>
      <w:r>
        <w:t>Auswertung historische EBITDA-Bridges: Bereinigung um Einmaleffekte (Restrukturierung 2022, IPO-Vorbereitungs-Kosten der Verkaeufer-Seite) ergibt EBITDA-Adjustment +EUR 0,4 Mio.</w:t>
      </w:r>
    </w:p>
    <w:p>
      <w:pPr>
        <w:pStyle w:val="ListBullet"/>
      </w:pPr>
      <w:r>
        <w:t>Kommerzielle Plausibilisierung Roland Berger: Marktwachstum 2024–2028 6,8 % CAGR; Target oberhalb Marktwachstum positioniert.</w:t>
      </w:r>
    </w:p>
    <w:p>
      <w:pPr>
        <w:pStyle w:val="Heading3"/>
      </w:pPr>
      <w:r>
        <w:t>Risiko-Einschaetzung (vorlaeufig)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Risikobereich</w:t>
            </w:r>
          </w:p>
        </w:tc>
        <w:tc>
          <w:tcPr>
            <w:tcW w:type="dxa" w:w="2880"/>
          </w:tcPr>
          <w:p>
            <w:r>
              <w:t>Einschaetzung</w:t>
            </w:r>
          </w:p>
        </w:tc>
        <w:tc>
          <w:tcPr>
            <w:tcW w:type="dxa" w:w="2880"/>
          </w:tcPr>
          <w:p>
            <w:r>
              <w:t>Mitigation</w:t>
            </w:r>
          </w:p>
        </w:tc>
      </w:tr>
      <w:tr>
        <w:tc>
          <w:tcPr>
            <w:tcW w:type="dxa" w:w="2880"/>
          </w:tcPr>
          <w:p>
            <w:r>
              <w:t>Kundenkonzentration (Top-3 = 58 %)</w:t>
            </w:r>
          </w:p>
        </w:tc>
        <w:tc>
          <w:tcPr>
            <w:tcW w:type="dxa" w:w="2880"/>
          </w:tcPr>
          <w:p>
            <w:r>
              <w:t>Mittel</w:t>
            </w:r>
          </w:p>
        </w:tc>
        <w:tc>
          <w:tcPr>
            <w:tcW w:type="dxa" w:w="2880"/>
          </w:tcPr>
          <w:p>
            <w:r>
              <w:t>Spezifische Garantie / Earn-Out-Hurdle</w:t>
            </w:r>
          </w:p>
        </w:tc>
      </w:tr>
      <w:tr>
        <w:tc>
          <w:tcPr>
            <w:tcW w:type="dxa" w:w="2880"/>
          </w:tcPr>
          <w:p>
            <w:r>
              <w:t>IP-/Patent-Risiken (Software-Stack)</w:t>
            </w:r>
          </w:p>
        </w:tc>
        <w:tc>
          <w:tcPr>
            <w:tcW w:type="dxa" w:w="2880"/>
          </w:tcPr>
          <w:p>
            <w:r>
              <w:t>Niedrig–Mittel</w:t>
            </w:r>
          </w:p>
        </w:tc>
        <w:tc>
          <w:tcPr>
            <w:tcW w:type="dxa" w:w="2880"/>
          </w:tcPr>
          <w:p>
            <w:r>
              <w:t>Patent-FtO-Analyse Maiwald</w:t>
            </w:r>
          </w:p>
        </w:tc>
      </w:tr>
      <w:tr>
        <w:tc>
          <w:tcPr>
            <w:tcW w:type="dxa" w:w="2880"/>
          </w:tcPr>
          <w:p>
            <w:r>
              <w:t>Schluesselpersonen-Retention</w:t>
            </w:r>
          </w:p>
        </w:tc>
        <w:tc>
          <w:tcPr>
            <w:tcW w:type="dxa" w:w="2880"/>
          </w:tcPr>
          <w:p>
            <w:r>
              <w:t>Mittel–Hoch</w:t>
            </w:r>
          </w:p>
        </w:tc>
        <w:tc>
          <w:tcPr>
            <w:tcW w:type="dxa" w:w="2880"/>
          </w:tcPr>
          <w:p>
            <w:r>
              <w:t>Retention-Plan vorbereiten</w:t>
            </w:r>
          </w:p>
        </w:tc>
      </w:tr>
      <w:tr>
        <w:tc>
          <w:tcPr>
            <w:tcW w:type="dxa" w:w="2880"/>
          </w:tcPr>
          <w:p>
            <w:r>
              <w:t>Tax-/TP-Risiken</w:t>
            </w:r>
          </w:p>
        </w:tc>
        <w:tc>
          <w:tcPr>
            <w:tcW w:type="dxa" w:w="2880"/>
          </w:tcPr>
          <w:p>
            <w:r>
              <w:t>Niedrig</w:t>
            </w:r>
          </w:p>
        </w:tc>
        <w:tc>
          <w:tcPr>
            <w:tcW w:type="dxa" w:w="2880"/>
          </w:tcPr>
          <w:p>
            <w:r>
              <w:t>PwC Tax DD</w:t>
            </w:r>
          </w:p>
        </w:tc>
      </w:tr>
      <w:tr>
        <w:tc>
          <w:tcPr>
            <w:tcW w:type="dxa" w:w="2880"/>
          </w:tcPr>
          <w:p>
            <w:r>
              <w:t>Cyber-/IT-Risiken</w:t>
            </w:r>
          </w:p>
        </w:tc>
        <w:tc>
          <w:tcPr>
            <w:tcW w:type="dxa" w:w="2880"/>
          </w:tcPr>
          <w:p>
            <w:r>
              <w:t>Mittel</w:t>
            </w:r>
          </w:p>
        </w:tc>
        <w:tc>
          <w:tcPr>
            <w:tcW w:type="dxa" w:w="2880"/>
          </w:tcPr>
          <w:p>
            <w:r>
              <w:t>ISO 27001 Gap-Analyse</w:t>
            </w:r>
          </w:p>
        </w:tc>
      </w:tr>
    </w:tbl>
    <w:p>
      <w:pPr>
        <w:pStyle w:val="Heading3"/>
      </w:pPr>
      <w:r>
        <w:t>Naechste Schritte</w:t>
      </w:r>
    </w:p>
    <w:p>
      <w:r>
        <w:t>(a) Beantwortung der Q&amp;A-Liste durch Verkaeufer-Berater abwarten; (b) Site-Visit innerhalb der naechsten 2 Wochen koordinieren (Brennhagen BD/M&amp;A, KPMG, Roland Berger); (c) Bewertungs-Bandbreite verfeinern nach Erhalt der QoE-Light durch KPMG; (d) Briefing AR-Pruefungsausschuss vor Term-Sheet-Verhandlung; (e) Working-Capital-Bridge bis zum naechsten DD-Working-Paper aktualisieren.</w:t>
      </w:r>
    </w:p>
    <w:p>
      <w:pPr>
        <w:pStyle w:val="Heading3"/>
      </w:pPr>
      <w:r>
        <w:t>Verteiler</w:t>
      </w:r>
    </w:p>
    <w:p>
      <w:r>
        <w:t>Vertraulich – streng begrenzter Verteiler: Stefan Richter (Vorstand BD/M&amp;A), Laura Bauer (CFO), Anna Mueller (CEO), Dr. Klaus Bessler (Goldman Sachs), Dr. Stefan Vogel (Roland Berger), Hengeler Mueller (Projekt-Code »NEXT-T-001«), KPMG-DD-Team. Verteilerprotokoll im NDA-Register (siehe REA_NDA_Register_2023.xlsx) dokumentiert.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