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#011 – Strategischer Prozess 2023/2024</w:t>
      </w:r>
    </w:p>
    <w:p>
      <w:pPr>
        <w:jc w:val="center"/>
      </w:pPr>
      <w:r>
        <w:t>Workstream-Findings | Target-Code T-004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11 im Rahmen des strategischen Prozesses 2023/2024 der Brennhagen Elektronik AG. Ziel: Vorpruefung des Pipeline-Targets T-004 (DriveTech Innovations s.r.o., Prag (CZ)). Bearbeitungsverantwortung: Stefan Richter (Vorstand BD/M&amp;A); externe Unterstuetzung: Goldman Sachs Frankfurt (Lead Banker Dr. Klaus Bessler), Roland Berger Muenchen (Lead Partner Dr. Stefan Vogel). Bearbeitungsstand: 30. Januar 2024.</w:t>
      </w:r>
    </w:p>
    <w:p>
      <w:pPr>
        <w:pStyle w:val="Heading3"/>
      </w:pPr>
      <w:r>
        <w:t>Untersuchungsgegenstand (Workstream)</w:t>
      </w:r>
    </w:p>
    <w:p>
      <w:r>
        <w:t>Fokus dieses Arbeitspapiers: Synergie-Validierung / Cross-Sell-Potenzial OEM.</w:t>
      </w:r>
    </w:p>
    <w:p>
      <w:r>
        <w:t>Hintergrund: Das Pipeline-Target DriveTech Innovations s.r.o. liefert (FY 2023): Umsatz EUR 11,2 Mio., EBITDA EUR 1,4 Mio.. Strategisches Thema: AUTOSAR Adaptive Toolchain; Software-Defined-Vehicle. Deal-Rationale: Beschleunigung Software-Stack Adaptive AUTOSAR.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30. Januar 2024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»NEXT-T-004«),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