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color w:val="CC0000"/>
        </w:rPr>
        <w:t>VERTRAULICH – STRENG VERTRAULICH / STRICTLY CONFIDENTIAL</w:t>
      </w:r>
    </w:p>
    <w:p>
      <w:pPr>
        <w:pStyle w:val="Heading1"/>
      </w:pPr>
      <w:r>
        <w:t>Brennhagen Elektronik AG</w:t>
      </w:r>
    </w:p>
    <w:p>
      <w:r>
        <w:rPr>
          <w:sz w:val="18"/>
        </w:rPr>
        <w:t>Vaihinger Straße 120, 70567 Stuttgart  |  HRB 726451, Amtsgericht Stuttgart</w:t>
      </w:r>
    </w:p>
    <w:p>
      <w:r>
        <w:t>────────────────────────────────────────────────────────────────────────────────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Post-Merger-Integration (PMI) Plan – Brennhagen (Shanghai) Co. Ltd.</w:t>
      </w:r>
    </w:p>
    <w:p>
      <w:pPr>
        <w:jc w:val="center"/>
      </w:pPr>
      <w:r>
        <w:t>Integration in den Brennhagen-Konzern – 18-Monats-Plan (Closing 21. Juni 2021 (nach Anmeldung MOFCOM Shanghai und SAFE-Genehmigung Kapitalruekfluss))</w:t>
      </w:r>
    </w:p>
    <w:p/>
    <w:p>
      <w:pPr>
        <w:pStyle w:val="Heading3"/>
      </w:pPr>
      <w:r>
        <w:t>Zielsetzung der Integration</w:t>
      </w:r>
    </w:p>
    <w:p>
      <w:r>
        <w:t>Vollintegration der Brennhagen (Shanghai) Co. Ltd. in den Brennhagen-Konzern binnen 18 Monaten nach Closing. Strategische Logik: Konsolidierung des Asien-Vertriebs unter alleiniger Kontrolle; Schutz vor Wettbewerbsverhalten des JV-Partners; Vorbereitung Ausbau Produktion BMS-12 China. Synergie-Ziel: Run-Rate EUR 2,1 Mio./Jahr ab Monat 18 (geprueft durch Roland Berger im Rahmen der Commercial DD).</w:t>
      </w:r>
    </w:p>
    <w:p>
      <w:pPr>
        <w:pStyle w:val="Heading3"/>
      </w:pPr>
      <w:r>
        <w:t>PMI-Governance</w:t>
      </w:r>
    </w:p>
    <w:p>
      <w:pPr>
        <w:pStyle w:val="ListBullet"/>
      </w:pPr>
      <w:r>
        <w:t>Steering Committee: Anna Mueller (CEO, Vorsitz), Laura Bauer (CFO), Dr. Thomas Weber (COO), Stefan Richter (BD/M&amp;A ab 4/2023); Aufsichtsrats-Reporting quartalsweise.</w:t>
      </w:r>
    </w:p>
    <w:p>
      <w:pPr>
        <w:pStyle w:val="ListBullet"/>
      </w:pPr>
      <w:r>
        <w:t>PMI-Lead (operativ): Stefan Richter; PMO mit 6 FTE (4 intern, 2 extern Roland Berger).</w:t>
      </w:r>
    </w:p>
    <w:p>
      <w:pPr>
        <w:pStyle w:val="ListBullet"/>
      </w:pPr>
      <w:r>
        <w:t>Workstream-Leiter:innen: Finanzen (Florian Maier), HR (Birgit Schmitt), IT (Markus Hofstetter), Operations (Andreas Maier), Vertrieb (Stefan Richter), Compliance (Dr. Andrea Bergmann).</w:t>
      </w:r>
    </w:p>
    <w:p>
      <w:pPr>
        <w:pStyle w:val="ListBullet"/>
      </w:pPr>
      <w:r>
        <w:t>Reporting-Kadenz: woechentliches Workstream-Update; zweiwoechentlicher SteerCo; monatlicher Vorstands-Status; quartalsweiser Bericht an AR (Pruefungsausschuss).</w:t>
      </w:r>
    </w:p>
    <w:p>
      <w:pPr>
        <w:pStyle w:val="Heading3"/>
      </w:pPr>
      <w:r>
        <w:t>Workstream-Plan / Meilensteine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#</w:t>
            </w:r>
          </w:p>
        </w:tc>
        <w:tc>
          <w:tcPr>
            <w:tcW w:type="dxa" w:w="2160"/>
          </w:tcPr>
          <w:p>
            <w:r>
              <w:t>Workstream</w:t>
            </w:r>
          </w:p>
        </w:tc>
        <w:tc>
          <w:tcPr>
            <w:tcW w:type="dxa" w:w="2160"/>
          </w:tcPr>
          <w:p>
            <w:r>
              <w:t>Meilenstein</w:t>
            </w:r>
          </w:p>
        </w:tc>
        <w:tc>
          <w:tcPr>
            <w:tcW w:type="dxa" w:w="2160"/>
          </w:tcPr>
          <w:p>
            <w:r>
              <w:t>Termin (Monat nach Closing)</w:t>
            </w:r>
          </w:p>
        </w:tc>
      </w:tr>
      <w:tr>
        <w:tc>
          <w:tcPr>
            <w:tcW w:type="dxa" w:w="2160"/>
          </w:tcPr>
          <w:p>
            <w:r>
              <w:t>1</w:t>
            </w:r>
          </w:p>
        </w:tc>
        <w:tc>
          <w:tcPr>
            <w:tcW w:type="dxa" w:w="2160"/>
          </w:tcPr>
          <w:p>
            <w:r>
              <w:t>Day-1-Readiness</w:t>
            </w:r>
          </w:p>
        </w:tc>
        <w:tc>
          <w:tcPr>
            <w:tcW w:type="dxa" w:w="2160"/>
          </w:tcPr>
          <w:p>
            <w:r>
              <w:t>Tag-1-Kommunikation OEM-Kunden / Lieferanten</w:t>
            </w:r>
          </w:p>
        </w:tc>
        <w:tc>
          <w:tcPr>
            <w:tcW w:type="dxa" w:w="2160"/>
          </w:tcPr>
          <w:p>
            <w:r>
              <w:t>M0</w:t>
            </w:r>
          </w:p>
        </w:tc>
      </w:tr>
      <w:tr>
        <w:tc>
          <w:tcPr>
            <w:tcW w:type="dxa" w:w="2160"/>
          </w:tcPr>
          <w:p>
            <w:r>
              <w:t>2</w:t>
            </w:r>
          </w:p>
        </w:tc>
        <w:tc>
          <w:tcPr>
            <w:tcW w:type="dxa" w:w="2160"/>
          </w:tcPr>
          <w:p>
            <w:r>
              <w:t>Finance / Bilanzierung</w:t>
            </w:r>
          </w:p>
        </w:tc>
        <w:tc>
          <w:tcPr>
            <w:tcW w:type="dxa" w:w="2160"/>
          </w:tcPr>
          <w:p>
            <w:r>
              <w:t>Eroeffnungsbilanz IFRS / PPA gemaess IAS 3</w:t>
            </w:r>
          </w:p>
        </w:tc>
        <w:tc>
          <w:tcPr>
            <w:tcW w:type="dxa" w:w="2160"/>
          </w:tcPr>
          <w:p>
            <w:r>
              <w:t>M2</w:t>
            </w:r>
          </w:p>
        </w:tc>
      </w:tr>
      <w:tr>
        <w:tc>
          <w:tcPr>
            <w:tcW w:type="dxa" w:w="2160"/>
          </w:tcPr>
          <w:p>
            <w:r>
              <w:t>3</w:t>
            </w:r>
          </w:p>
        </w:tc>
        <w:tc>
          <w:tcPr>
            <w:tcW w:type="dxa" w:w="2160"/>
          </w:tcPr>
          <w:p>
            <w:r>
              <w:t>Finance / Reporting</w:t>
            </w:r>
          </w:p>
        </w:tc>
        <w:tc>
          <w:tcPr>
            <w:tcW w:type="dxa" w:w="2160"/>
          </w:tcPr>
          <w:p>
            <w:r>
              <w:t>Anbindung lokales ERP an Konzern-SAP-S/4HANA</w:t>
            </w:r>
          </w:p>
        </w:tc>
        <w:tc>
          <w:tcPr>
            <w:tcW w:type="dxa" w:w="2160"/>
          </w:tcPr>
          <w:p>
            <w:r>
              <w:t>M9–M18</w:t>
            </w:r>
          </w:p>
        </w:tc>
      </w:tr>
      <w:tr>
        <w:tc>
          <w:tcPr>
            <w:tcW w:type="dxa" w:w="2160"/>
          </w:tcPr>
          <w:p>
            <w:r>
              <w:t>4</w:t>
            </w:r>
          </w:p>
        </w:tc>
        <w:tc>
          <w:tcPr>
            <w:tcW w:type="dxa" w:w="2160"/>
          </w:tcPr>
          <w:p>
            <w:r>
              <w:t>HR / Compensation</w:t>
            </w:r>
          </w:p>
        </w:tc>
        <w:tc>
          <w:tcPr>
            <w:tcW w:type="dxa" w:w="2160"/>
          </w:tcPr>
          <w:p>
            <w:r>
              <w:t>Harmonisierung Tantieme-Systeme / Konzern-LTI-Rollout</w:t>
            </w:r>
          </w:p>
        </w:tc>
        <w:tc>
          <w:tcPr>
            <w:tcW w:type="dxa" w:w="2160"/>
          </w:tcPr>
          <w:p>
            <w:r>
              <w:t>M6</w:t>
            </w:r>
          </w:p>
        </w:tc>
      </w:tr>
      <w:tr>
        <w:tc>
          <w:tcPr>
            <w:tcW w:type="dxa" w:w="2160"/>
          </w:tcPr>
          <w:p>
            <w:r>
              <w:t>5</w:t>
            </w:r>
          </w:p>
        </w:tc>
        <w:tc>
          <w:tcPr>
            <w:tcW w:type="dxa" w:w="2160"/>
          </w:tcPr>
          <w:p>
            <w:r>
              <w:t>HR / Betriebsrat</w:t>
            </w:r>
          </w:p>
        </w:tc>
        <w:tc>
          <w:tcPr>
            <w:tcW w:type="dxa" w:w="2160"/>
          </w:tcPr>
          <w:p>
            <w:r>
              <w:t>Mitbestimmungs-Verfahren / Konzernbetriebsrats-Anbindung</w:t>
            </w:r>
          </w:p>
        </w:tc>
        <w:tc>
          <w:tcPr>
            <w:tcW w:type="dxa" w:w="2160"/>
          </w:tcPr>
          <w:p>
            <w:r>
              <w:t>M4</w:t>
            </w:r>
          </w:p>
        </w:tc>
      </w:tr>
      <w:tr>
        <w:tc>
          <w:tcPr>
            <w:tcW w:type="dxa" w:w="2160"/>
          </w:tcPr>
          <w:p>
            <w:r>
              <w:t>6</w:t>
            </w:r>
          </w:p>
        </w:tc>
        <w:tc>
          <w:tcPr>
            <w:tcW w:type="dxa" w:w="2160"/>
          </w:tcPr>
          <w:p>
            <w:r>
              <w:t>Operations / IATF</w:t>
            </w:r>
          </w:p>
        </w:tc>
        <w:tc>
          <w:tcPr>
            <w:tcW w:type="dxa" w:w="2160"/>
          </w:tcPr>
          <w:p>
            <w:r>
              <w:t>Audit-Vorbereitung und Re-Zertifizierung IATF 16949</w:t>
            </w:r>
          </w:p>
        </w:tc>
        <w:tc>
          <w:tcPr>
            <w:tcW w:type="dxa" w:w="2160"/>
          </w:tcPr>
          <w:p>
            <w:r>
              <w:t>M12</w:t>
            </w:r>
          </w:p>
        </w:tc>
      </w:tr>
      <w:tr>
        <w:tc>
          <w:tcPr>
            <w:tcW w:type="dxa" w:w="2160"/>
          </w:tcPr>
          <w:p>
            <w:r>
              <w:t>7</w:t>
            </w:r>
          </w:p>
        </w:tc>
        <w:tc>
          <w:tcPr>
            <w:tcW w:type="dxa" w:w="2160"/>
          </w:tcPr>
          <w:p>
            <w:r>
              <w:t>IT / Cybersecurity</w:t>
            </w:r>
          </w:p>
        </w:tc>
        <w:tc>
          <w:tcPr>
            <w:tcW w:type="dxa" w:w="2160"/>
          </w:tcPr>
          <w:p>
            <w:r>
              <w:t>Roll-out Konzern-IT-Sicherheitsstandards / ISO 27001</w:t>
            </w:r>
          </w:p>
        </w:tc>
        <w:tc>
          <w:tcPr>
            <w:tcW w:type="dxa" w:w="2160"/>
          </w:tcPr>
          <w:p>
            <w:r>
              <w:t>M9</w:t>
            </w:r>
          </w:p>
        </w:tc>
      </w:tr>
      <w:tr>
        <w:tc>
          <w:tcPr>
            <w:tcW w:type="dxa" w:w="2160"/>
          </w:tcPr>
          <w:p>
            <w:r>
              <w:t>8</w:t>
            </w:r>
          </w:p>
        </w:tc>
        <w:tc>
          <w:tcPr>
            <w:tcW w:type="dxa" w:w="2160"/>
          </w:tcPr>
          <w:p>
            <w:r>
              <w:t>Sales / Cross-Sell</w:t>
            </w:r>
          </w:p>
        </w:tc>
        <w:tc>
          <w:tcPr>
            <w:tcW w:type="dxa" w:w="2160"/>
          </w:tcPr>
          <w:p>
            <w:r>
              <w:t>Brennhagen-Sales-Force / Cross-Selling ICP-3 / ADAS / BMS-12</w:t>
            </w:r>
          </w:p>
        </w:tc>
        <w:tc>
          <w:tcPr>
            <w:tcW w:type="dxa" w:w="2160"/>
          </w:tcPr>
          <w:p>
            <w:r>
              <w:t>M3–M18</w:t>
            </w:r>
          </w:p>
        </w:tc>
      </w:tr>
      <w:tr>
        <w:tc>
          <w:tcPr>
            <w:tcW w:type="dxa" w:w="2160"/>
          </w:tcPr>
          <w:p>
            <w:r>
              <w:t>9</w:t>
            </w:r>
          </w:p>
        </w:tc>
        <w:tc>
          <w:tcPr>
            <w:tcW w:type="dxa" w:w="2160"/>
          </w:tcPr>
          <w:p>
            <w:r>
              <w:t>Procurement / Bundling</w:t>
            </w:r>
          </w:p>
        </w:tc>
        <w:tc>
          <w:tcPr>
            <w:tcW w:type="dxa" w:w="2160"/>
          </w:tcPr>
          <w:p>
            <w:r>
              <w:t>Einbindung in Konzern-Einkauf / Lieferanten-Bundling</w:t>
            </w:r>
          </w:p>
        </w:tc>
        <w:tc>
          <w:tcPr>
            <w:tcW w:type="dxa" w:w="2160"/>
          </w:tcPr>
          <w:p>
            <w:r>
              <w:t>M6</w:t>
            </w:r>
          </w:p>
        </w:tc>
      </w:tr>
      <w:tr>
        <w:tc>
          <w:tcPr>
            <w:tcW w:type="dxa" w:w="2160"/>
          </w:tcPr>
          <w:p>
            <w:r>
              <w:t>10</w:t>
            </w:r>
          </w:p>
        </w:tc>
        <w:tc>
          <w:tcPr>
            <w:tcW w:type="dxa" w:w="2160"/>
          </w:tcPr>
          <w:p>
            <w:r>
              <w:t>Synergie-Tracker</w:t>
            </w:r>
          </w:p>
        </w:tc>
        <w:tc>
          <w:tcPr>
            <w:tcW w:type="dxa" w:w="2160"/>
          </w:tcPr>
          <w:p>
            <w:r>
              <w:t>Initialer Synergie-Baseline; Tracking ab M3</w:t>
            </w:r>
          </w:p>
        </w:tc>
        <w:tc>
          <w:tcPr>
            <w:tcW w:type="dxa" w:w="2160"/>
          </w:tcPr>
          <w:p>
            <w:r>
              <w:t>M0–M18</w:t>
            </w:r>
          </w:p>
        </w:tc>
      </w:tr>
      <w:tr>
        <w:tc>
          <w:tcPr>
            <w:tcW w:type="dxa" w:w="2160"/>
          </w:tcPr>
          <w:p>
            <w:r>
              <w:t>11</w:t>
            </w:r>
          </w:p>
        </w:tc>
        <w:tc>
          <w:tcPr>
            <w:tcW w:type="dxa" w:w="2160"/>
          </w:tcPr>
          <w:p>
            <w:r>
              <w:t>Compliance</w:t>
            </w:r>
          </w:p>
        </w:tc>
        <w:tc>
          <w:tcPr>
            <w:tcW w:type="dxa" w:w="2160"/>
          </w:tcPr>
          <w:p>
            <w:r>
              <w:t>Roll-out Code of Conduct, Whistleblowing-System, GDPR-Audit</w:t>
            </w:r>
          </w:p>
        </w:tc>
        <w:tc>
          <w:tcPr>
            <w:tcW w:type="dxa" w:w="2160"/>
          </w:tcPr>
          <w:p>
            <w:r>
              <w:t>M3</w:t>
            </w:r>
          </w:p>
        </w:tc>
      </w:tr>
      <w:tr>
        <w:tc>
          <w:tcPr>
            <w:tcW w:type="dxa" w:w="2160"/>
          </w:tcPr>
          <w:p>
            <w:r>
              <w:t>12</w:t>
            </w:r>
          </w:p>
        </w:tc>
        <w:tc>
          <w:tcPr>
            <w:tcW w:type="dxa" w:w="2160"/>
          </w:tcPr>
          <w:p>
            <w:r>
              <w:t>Rebranding / Marke</w:t>
            </w:r>
          </w:p>
        </w:tc>
        <w:tc>
          <w:tcPr>
            <w:tcW w:type="dxa" w:w="2160"/>
          </w:tcPr>
          <w:p>
            <w:r>
              <w:t>Umfirmierung auf »Brennhagen Czech / Hungary / Shanghai«</w:t>
            </w:r>
          </w:p>
        </w:tc>
        <w:tc>
          <w:tcPr>
            <w:tcW w:type="dxa" w:w="2160"/>
          </w:tcPr>
          <w:p>
            <w:r>
              <w:t>M1–M3</w:t>
            </w:r>
          </w:p>
        </w:tc>
      </w:tr>
    </w:tbl>
    <w:p>
      <w:pPr>
        <w:pStyle w:val="Heading3"/>
      </w:pPr>
      <w:r>
        <w:t>Synergie-Plan (Run-Rate ab M18)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Synergie-Hebel</w:t>
            </w:r>
          </w:p>
        </w:tc>
        <w:tc>
          <w:tcPr>
            <w:tcW w:type="dxa" w:w="2880"/>
          </w:tcPr>
          <w:p>
            <w:r>
              <w:t>Run-Rate (EUR Mio./Jahr)</w:t>
            </w:r>
          </w:p>
        </w:tc>
        <w:tc>
          <w:tcPr>
            <w:tcW w:type="dxa" w:w="2880"/>
          </w:tcPr>
          <w:p>
            <w:r>
              <w:t>Umsetzung bis</w:t>
            </w:r>
          </w:p>
        </w:tc>
      </w:tr>
      <w:tr>
        <w:tc>
          <w:tcPr>
            <w:tcW w:type="dxa" w:w="2880"/>
          </w:tcPr>
          <w:p>
            <w:r>
              <w:t>Einkaufs-Bundling Halbleiter / Passive</w:t>
            </w:r>
          </w:p>
        </w:tc>
        <w:tc>
          <w:tcPr>
            <w:tcW w:type="dxa" w:w="2880"/>
          </w:tcPr>
          <w:p>
            <w:r>
              <w:t>0,8</w:t>
            </w:r>
          </w:p>
        </w:tc>
        <w:tc>
          <w:tcPr>
            <w:tcW w:type="dxa" w:w="2880"/>
          </w:tcPr>
          <w:p>
            <w:r>
              <w:t>M9</w:t>
            </w:r>
          </w:p>
        </w:tc>
      </w:tr>
      <w:tr>
        <w:tc>
          <w:tcPr>
            <w:tcW w:type="dxa" w:w="2880"/>
          </w:tcPr>
          <w:p>
            <w:r>
              <w:t>IT-Konsolidierung (SAP, Lizenzen)</w:t>
            </w:r>
          </w:p>
        </w:tc>
        <w:tc>
          <w:tcPr>
            <w:tcW w:type="dxa" w:w="2880"/>
          </w:tcPr>
          <w:p>
            <w:r>
              <w:t>0,3</w:t>
            </w:r>
          </w:p>
        </w:tc>
        <w:tc>
          <w:tcPr>
            <w:tcW w:type="dxa" w:w="2880"/>
          </w:tcPr>
          <w:p>
            <w:r>
              <w:t>M12</w:t>
            </w:r>
          </w:p>
        </w:tc>
      </w:tr>
      <w:tr>
        <w:tc>
          <w:tcPr>
            <w:tcW w:type="dxa" w:w="2880"/>
          </w:tcPr>
          <w:p>
            <w:r>
              <w:t>Vertriebs-Cross-Selling Brennhagen-Portfolio</w:t>
            </w:r>
          </w:p>
        </w:tc>
        <w:tc>
          <w:tcPr>
            <w:tcW w:type="dxa" w:w="2880"/>
          </w:tcPr>
          <w:p>
            <w:r>
              <w:t>0,6</w:t>
            </w:r>
          </w:p>
        </w:tc>
        <w:tc>
          <w:tcPr>
            <w:tcW w:type="dxa" w:w="2880"/>
          </w:tcPr>
          <w:p>
            <w:r>
              <w:t>M18</w:t>
            </w:r>
          </w:p>
        </w:tc>
      </w:tr>
      <w:tr>
        <w:tc>
          <w:tcPr>
            <w:tcW w:type="dxa" w:w="2880"/>
          </w:tcPr>
          <w:p>
            <w:r>
              <w:t>Overhead-Reduktion (Konzern-Shared-Services)</w:t>
            </w:r>
          </w:p>
        </w:tc>
        <w:tc>
          <w:tcPr>
            <w:tcW w:type="dxa" w:w="2880"/>
          </w:tcPr>
          <w:p>
            <w:r>
              <w:t>0,4</w:t>
            </w:r>
          </w:p>
        </w:tc>
        <w:tc>
          <w:tcPr>
            <w:tcW w:type="dxa" w:w="2880"/>
          </w:tcPr>
          <w:p>
            <w:r>
              <w:t>M12</w:t>
            </w:r>
          </w:p>
        </w:tc>
      </w:tr>
      <w:tr>
        <w:tc>
          <w:tcPr>
            <w:tcW w:type="dxa" w:w="2880"/>
          </w:tcPr>
          <w:p>
            <w:r>
              <w:t>SUMME</w:t>
            </w:r>
          </w:p>
        </w:tc>
        <w:tc>
          <w:tcPr>
            <w:tcW w:type="dxa" w:w="2880"/>
          </w:tcPr>
          <w:p>
            <w:r>
              <w:t>2,1</w:t>
            </w:r>
          </w:p>
        </w:tc>
        <w:tc>
          <w:tcPr>
            <w:tcW w:type="dxa" w:w="2880"/>
          </w:tcPr>
          <w:p>
            <w:r>
              <w:t>M18</w:t>
            </w:r>
          </w:p>
        </w:tc>
      </w:tr>
    </w:tbl>
    <w:p>
      <w:pPr>
        <w:pStyle w:val="Heading3"/>
      </w:pPr>
      <w:r>
        <w:t>Integrationskosten (One-Off)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Position</w:t>
            </w:r>
          </w:p>
        </w:tc>
        <w:tc>
          <w:tcPr>
            <w:tcW w:type="dxa" w:w="4320"/>
          </w:tcPr>
          <w:p>
            <w:r>
              <w:t>Wert (EUR Mio.)</w:t>
            </w:r>
          </w:p>
        </w:tc>
      </w:tr>
      <w:tr>
        <w:tc>
          <w:tcPr>
            <w:tcW w:type="dxa" w:w="4320"/>
          </w:tcPr>
          <w:p>
            <w:r>
              <w:t>IT-Migration SAP-S/4HANA-Template</w:t>
            </w:r>
          </w:p>
        </w:tc>
        <w:tc>
          <w:tcPr>
            <w:tcW w:type="dxa" w:w="4320"/>
          </w:tcPr>
          <w:p>
            <w:r>
              <w:t>1,4</w:t>
            </w:r>
          </w:p>
        </w:tc>
      </w:tr>
      <w:tr>
        <w:tc>
          <w:tcPr>
            <w:tcW w:type="dxa" w:w="4320"/>
          </w:tcPr>
          <w:p>
            <w:r>
              <w:t>Beratungs- und Projektkosten (Roland Berger PMI)</w:t>
            </w:r>
          </w:p>
        </w:tc>
        <w:tc>
          <w:tcPr>
            <w:tcW w:type="dxa" w:w="4320"/>
          </w:tcPr>
          <w:p>
            <w:r>
              <w:t>0,9</w:t>
            </w:r>
          </w:p>
        </w:tc>
      </w:tr>
      <w:tr>
        <w:tc>
          <w:tcPr>
            <w:tcW w:type="dxa" w:w="4320"/>
          </w:tcPr>
          <w:p>
            <w:r>
              <w:t>Sozialplan / Restrukturierung (sofern erforderlich)</w:t>
            </w:r>
          </w:p>
        </w:tc>
        <w:tc>
          <w:tcPr>
            <w:tcW w:type="dxa" w:w="4320"/>
          </w:tcPr>
          <w:p>
            <w:r>
              <w:t>0,6</w:t>
            </w:r>
          </w:p>
        </w:tc>
      </w:tr>
      <w:tr>
        <w:tc>
          <w:tcPr>
            <w:tcW w:type="dxa" w:w="4320"/>
          </w:tcPr>
          <w:p>
            <w:r>
              <w:t>Rebranding / Marketing</w:t>
            </w:r>
          </w:p>
        </w:tc>
        <w:tc>
          <w:tcPr>
            <w:tcW w:type="dxa" w:w="4320"/>
          </w:tcPr>
          <w:p>
            <w:r>
              <w:t>0,2</w:t>
            </w:r>
          </w:p>
        </w:tc>
      </w:tr>
      <w:tr>
        <w:tc>
          <w:tcPr>
            <w:tcW w:type="dxa" w:w="4320"/>
          </w:tcPr>
          <w:p>
            <w:r>
              <w:t>W&amp;I-Versicherungskosten (allocated)</w:t>
            </w:r>
          </w:p>
        </w:tc>
        <w:tc>
          <w:tcPr>
            <w:tcW w:type="dxa" w:w="4320"/>
          </w:tcPr>
          <w:p>
            <w:r>
              <w:t>0,1</w:t>
            </w:r>
          </w:p>
        </w:tc>
      </w:tr>
      <w:tr>
        <w:tc>
          <w:tcPr>
            <w:tcW w:type="dxa" w:w="4320"/>
          </w:tcPr>
          <w:p>
            <w:r>
              <w:t>Sonstige Integrationskosten</w:t>
            </w:r>
          </w:p>
        </w:tc>
        <w:tc>
          <w:tcPr>
            <w:tcW w:type="dxa" w:w="4320"/>
          </w:tcPr>
          <w:p>
            <w:r>
              <w:t>0,6</w:t>
            </w:r>
          </w:p>
        </w:tc>
      </w:tr>
      <w:tr>
        <w:tc>
          <w:tcPr>
            <w:tcW w:type="dxa" w:w="4320"/>
          </w:tcPr>
          <w:p>
            <w:r>
              <w:t>SUMME</w:t>
            </w:r>
          </w:p>
        </w:tc>
        <w:tc>
          <w:tcPr>
            <w:tcW w:type="dxa" w:w="4320"/>
          </w:tcPr>
          <w:p>
            <w:r>
              <w:t>3,8</w:t>
            </w:r>
          </w:p>
        </w:tc>
      </w:tr>
    </w:tbl>
    <w:p>
      <w:pPr>
        <w:pStyle w:val="Heading3"/>
      </w:pPr>
      <w:r>
        <w:t>Risiken und Mitigation</w:t>
      </w:r>
    </w:p>
    <w:p>
      <w:r>
        <w:t>Hauptrisiken: (a) Mitarbeiter-Fluktuation Schluesselpersonen (Mitigation: Retention-Bonusplan bis EUR 320.000 ueber 24 Monate, vorab in W&amp;I einkalkuliert); (b) Kunden-Konsent unter Change-of-Control-Klauseln (Mitigation: vorab eingeholt vor Closing); (c) IT-Migration Risiko Produktionsstoerung (Mitigation: Cutover-Wochenende, Parallel-Run, Rollback-Plan); (d) Synergie-Realisierung verzoegert (Mitigation: monatliches Synergie-Tracking durch CFO-Team).</w:t>
      </w:r>
    </w:p>
    <w:p>
      <w:pPr>
        <w:pStyle w:val="Heading3"/>
      </w:pPr>
      <w:r>
        <w:t>Unterschriften</w:t>
      </w:r>
    </w:p>
    <w:p>
      <w:r>
        <w:t>Ort, Datum: Stuttgart, den 21. Juni 2021 (nach Anmeldung MOFCOM Shanghai und SAFE-Genehmigung Kapitalruekfluss)</w:t>
      </w:r>
    </w:p>
    <w:p>
      <w:r>
        <w:t>_________________________            _________________________</w:t>
        <w:br/>
        <w:t>Stefan Richter                          Anna Mueller</w:t>
        <w:br/>
        <w:t>Vorstand BD/M&amp;A – PMI Lead                          CEO – PMI SteerCo Vorsitz</w:t>
        <w:br/>
        <w:t>Brennhagen Elektronik AG                       Brennhagen Elektronik AG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