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Letter of Intent / Term Sheet – Brennhagen Czech s.r.o.</w:t>
      </w:r>
    </w:p>
    <w:p>
      <w:pPr>
        <w:jc w:val="center"/>
      </w:pPr>
      <w:r>
        <w:t>Indikativ – nicht-bindend (mit Ausnahme der Exklusivitaets- und Vertraulichkeitsklauseln)</w:t>
      </w:r>
    </w:p>
    <w:p/>
    <w:p>
      <w:pPr>
        <w:pStyle w:val="Heading3"/>
      </w:pPr>
      <w:r>
        <w:t>Praeambel</w:t>
      </w:r>
    </w:p>
    <w:p>
      <w:r>
        <w:t>Zwischen der Brennhagen Elektronik AG (»Erwerberin« bzw. »Brennhagen«), Vaihinger Strasse 120, 70567 Stuttgart, vertreten durch den Vorstand, und den Veraeusserern (Eigentuemer bzw. verbleibende JV-Partner) der Brennhagen Czech s.r.o. (vormals ElektroBrno s.r.o.) (»Zielgesellschaft«), Brno (CZ), Vinarska 460/9, 603 00 Brno-stred, besteht die gemeinsame Absicht, den im nachfolgenden Term Sheet skizzierten Erwerb vorzubereiten und – vorbehaltlich der erfolgreichen Due Diligence sowie der Zustimmung der jeweiligen Gremien – zum Abschluss zu bringen.</w:t>
      </w:r>
    </w:p>
    <w:p>
      <w:pPr>
        <w:pStyle w:val="Heading3"/>
      </w:pPr>
      <w:r>
        <w:t>Eckpunkte des geplanten Erwerbs</w:t>
      </w:r>
    </w:p>
    <w:p>
      <w:pPr>
        <w:pStyle w:val="Heading4"/>
      </w:pPr>
      <w:r>
        <w:t>§ 1 Transaktionsstruktur</w:t>
      </w:r>
    </w:p>
    <w:p>
      <w:r>
        <w:rPr>
          <w:b/>
        </w:rPr>
        <w:t xml:space="preserve">(1) </w:t>
      </w:r>
      <w:r>
        <w:t>Geplante Strukturierung: Share Deal – Erwerb 100 % der Geschaeftsanteile (vormals 49 % JV-Anteil bestehend).</w:t>
      </w:r>
    </w:p>
    <w:p>
      <w:r>
        <w:rPr>
          <w:b/>
        </w:rPr>
        <w:t xml:space="preserve">(2) </w:t>
      </w:r>
      <w:r>
        <w:t>Erwerberin ist die Brennhagen Holding GmbH (100%-ige Tochter der Brennhagen Elektronik AG); auf Erwerberseite handeln die Vorstaende der Holding sowie der Konzernobergesellschaft.</w:t>
      </w:r>
    </w:p>
    <w:p>
      <w:pPr>
        <w:pStyle w:val="Heading4"/>
      </w:pPr>
      <w:r>
        <w:t>§ 2 Kaufpreis (indikativ)</w:t>
      </w:r>
    </w:p>
    <w:p>
      <w:r>
        <w:rPr>
          <w:b/>
        </w:rPr>
        <w:t xml:space="preserve">(1) </w:t>
      </w:r>
      <w:r>
        <w:t>Indikative Kaufpreis-Bandbreite (Enterprise Value): EUR 14,2 Mio. (Enterprise Value).</w:t>
      </w:r>
    </w:p>
    <w:p>
      <w:r>
        <w:rPr>
          <w:b/>
        </w:rPr>
        <w:t xml:space="preserve">(2) </w:t>
      </w:r>
      <w:r>
        <w:t>Zusaetzlicher Earn-Out (max.): EUR 1,8 Mio. Earn-Out (EBITDA-Hurdle 2019/2020), bemessen anhand des EBITDA der Zielgesellschaft fuer die ersten zwei vollen Geschaeftsjahre nach Closing.</w:t>
      </w:r>
    </w:p>
    <w:p>
      <w:r>
        <w:rPr>
          <w:b/>
        </w:rPr>
        <w:t xml:space="preserve">(3) </w:t>
      </w:r>
      <w:r>
        <w:t>Kaufpreismechanik: Locked-Box ab dem Stichtag 31.12. des Vorjahres bzw. alternativ Completion Accounts mit Working-Capital- und Net-Debt-Anpassung. Mechanik wird im Rahmen der SPA-Verhandlungen final festgelegt.</w:t>
      </w:r>
    </w:p>
    <w:p>
      <w:pPr>
        <w:pStyle w:val="Heading4"/>
      </w:pPr>
      <w:r>
        <w:t>§ 3 Conditions Precedent</w:t>
      </w:r>
    </w:p>
    <w:p>
      <w:r>
        <w:rPr>
          <w:b/>
        </w:rPr>
        <w:t xml:space="preserve">(1) </w:t>
      </w:r>
      <w:r>
        <w:t>Erfolgreicher Abschluss der finanziellen, rechtlichen, steuerlichen und technischen Due Diligence durch die Erwerberin.</w:t>
      </w:r>
    </w:p>
    <w:p>
      <w:r>
        <w:rPr>
          <w:b/>
        </w:rPr>
        <w:t xml:space="preserve">(2) </w:t>
      </w:r>
      <w:r>
        <w:t>Zustimmung des Aufsichtsrats der Brennhagen Elektronik AG.</w:t>
      </w:r>
    </w:p>
    <w:p>
      <w:r>
        <w:rPr>
          <w:b/>
        </w:rPr>
        <w:t xml:space="preserve">(3) </w:t>
      </w:r>
      <w:r>
        <w:t>Kartellrechtliche Freigaben (insbesondere lokale Behoerde der Zielgesellschaft).</w:t>
      </w:r>
    </w:p>
    <w:p>
      <w:r>
        <w:rPr>
          <w:b/>
        </w:rPr>
        <w:t xml:space="preserve">(4) </w:t>
      </w:r>
      <w:r>
        <w:t>Material-Adverse-Change-Klausel (MAC): keine wesentliche Verschlechterung der wirtschaftlichen Verhaeltnisse zwischen Signing und Closing.</w:t>
      </w:r>
    </w:p>
    <w:p>
      <w:pPr>
        <w:pStyle w:val="Heading4"/>
      </w:pPr>
      <w:r>
        <w:t>§ 4 Exklusivitaet</w:t>
      </w:r>
    </w:p>
    <w:p>
      <w:r>
        <w:rPr>
          <w:b/>
        </w:rPr>
        <w:t xml:space="preserve">(1) </w:t>
      </w:r>
      <w:r>
        <w:t>Die Veraeusserer verpflichten sich, fuer eine Periode von 90 Tagen ab Unterzeichnung dieses LoI keine konkurrierenden Verhandlungen mit Dritten zu fuehren bzw. Angebote Dritter zu sondieren. No-Shop-Klausel inkl. Konventionalstrafe von EUR 250.000 bei Verstoss.</w:t>
      </w:r>
    </w:p>
    <w:p>
      <w:pPr>
        <w:pStyle w:val="Heading4"/>
      </w:pPr>
      <w:r>
        <w:t>§ 5 Vertraulichkeit</w:t>
      </w:r>
    </w:p>
    <w:p>
      <w:r>
        <w:rPr>
          <w:b/>
        </w:rPr>
        <w:t xml:space="preserve">(1) </w:t>
      </w:r>
      <w:r>
        <w:t>Es gelten die Regelungen der gleichzeitig unterzeichneten Non-Disclosure-Agreement (NDA) vom Datum des LoI; diese sind ausdruecklicher Bestandteil dieses LoI.</w:t>
      </w:r>
    </w:p>
    <w:p>
      <w:pPr>
        <w:pStyle w:val="Heading4"/>
      </w:pPr>
      <w:r>
        <w:t>§ 6 Kosten</w:t>
      </w:r>
    </w:p>
    <w:p>
      <w:r>
        <w:rPr>
          <w:b/>
        </w:rPr>
        <w:t xml:space="preserve">(1) </w:t>
      </w:r>
      <w:r>
        <w:t>Jede Partei traegt ihre eigenen Beratungskosten (M&amp;A-Berater, Anwaelte, Wirtschaftspruefer). Im Falle des Scheiterns der Transaktion aus Gruenden ausserhalb der Kontrolle der Erwerberin werden die Kosten der DD-Berater (KPMG/PwC/Hengeler/Roland Berger) bis EUR 800.000 von der Erwerberin getragen.</w:t>
      </w:r>
    </w:p>
    <w:p>
      <w:pPr>
        <w:pStyle w:val="Heading4"/>
      </w:pPr>
      <w:r>
        <w:t>§ 7 Anwendbares Recht / Gerichtsstand</w:t>
      </w:r>
    </w:p>
    <w:p>
      <w:r>
        <w:rPr>
          <w:b/>
        </w:rPr>
        <w:t xml:space="preserve">(1) </w:t>
      </w:r>
      <w:r>
        <w:t>Dieser LoI unterliegt deutschem Recht. Gerichtsstand fuer Streitigkeiten ist Frankfurt am Main; Schiedsklausel (ICC, Sitz Frankfurt, deutsche Sprache) optional.</w:t>
      </w:r>
    </w:p>
    <w:p>
      <w:pPr>
        <w:pStyle w:val="Heading3"/>
      </w:pPr>
      <w:r>
        <w:t>Zeitplan (indikativ)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Termin</w:t>
            </w:r>
          </w:p>
        </w:tc>
      </w:tr>
      <w:tr>
        <w:tc>
          <w:tcPr>
            <w:tcW w:type="dxa" w:w="4320"/>
          </w:tcPr>
          <w:p>
            <w:r>
              <w:t>LoI / NDA Unterzeichnung</w:t>
            </w:r>
          </w:p>
        </w:tc>
        <w:tc>
          <w:tcPr>
            <w:tcW w:type="dxa" w:w="4320"/>
          </w:tcPr>
          <w:p>
            <w:r>
              <w:t>Tag 0</w:t>
            </w:r>
          </w:p>
        </w:tc>
      </w:tr>
      <w:tr>
        <w:tc>
          <w:tcPr>
            <w:tcW w:type="dxa" w:w="4320"/>
          </w:tcPr>
          <w:p>
            <w:r>
              <w:t>DD-Start (Roland Berger Commercial, KPMG Financial)</w:t>
            </w:r>
          </w:p>
        </w:tc>
        <w:tc>
          <w:tcPr>
            <w:tcW w:type="dxa" w:w="4320"/>
          </w:tcPr>
          <w:p>
            <w:r>
              <w:t>Tag 7</w:t>
            </w:r>
          </w:p>
        </w:tc>
      </w:tr>
      <w:tr>
        <w:tc>
          <w:tcPr>
            <w:tcW w:type="dxa" w:w="4320"/>
          </w:tcPr>
          <w:p>
            <w:r>
              <w:t>DD-Abschluss / Findings-Report</w:t>
            </w:r>
          </w:p>
        </w:tc>
        <w:tc>
          <w:tcPr>
            <w:tcW w:type="dxa" w:w="4320"/>
          </w:tcPr>
          <w:p>
            <w:r>
              <w:t>Tag 60</w:t>
            </w:r>
          </w:p>
        </w:tc>
      </w:tr>
      <w:tr>
        <w:tc>
          <w:tcPr>
            <w:tcW w:type="dxa" w:w="4320"/>
          </w:tcPr>
          <w:p>
            <w:r>
              <w:t>SPA-Verhandlung</w:t>
            </w:r>
          </w:p>
        </w:tc>
        <w:tc>
          <w:tcPr>
            <w:tcW w:type="dxa" w:w="4320"/>
          </w:tcPr>
          <w:p>
            <w:r>
              <w:t>Tag 60–80</w:t>
            </w:r>
          </w:p>
        </w:tc>
      </w:tr>
      <w:tr>
        <w:tc>
          <w:tcPr>
            <w:tcW w:type="dxa" w:w="4320"/>
          </w:tcPr>
          <w:p>
            <w:r>
              <w:t>Signing</w:t>
            </w:r>
          </w:p>
        </w:tc>
        <w:tc>
          <w:tcPr>
            <w:tcW w:type="dxa" w:w="4320"/>
          </w:tcPr>
          <w:p>
            <w:r>
              <w:t>18. September 2018</w:t>
            </w:r>
          </w:p>
        </w:tc>
      </w:tr>
      <w:tr>
        <w:tc>
          <w:tcPr>
            <w:tcW w:type="dxa" w:w="4320"/>
          </w:tcPr>
          <w:p>
            <w:r>
              <w:t>Closing (nach Kartellfreigabe)</w:t>
            </w:r>
          </w:p>
        </w:tc>
        <w:tc>
          <w:tcPr>
            <w:tcW w:type="dxa" w:w="4320"/>
          </w:tcPr>
          <w:p>
            <w:r>
              <w:t>12. November 2018 (nach Kartellfreigabe BWB Wien fuer Konzernanteil ueber 5 Mio. CZK)</w:t>
            </w:r>
          </w:p>
        </w:tc>
      </w:tr>
    </w:tbl>
    <w:p>
      <w:pPr>
        <w:pStyle w:val="Heading3"/>
      </w:pPr>
      <w:r>
        <w:t>Berater der Erwerberin</w:t>
      </w:r>
    </w:p>
    <w:p>
      <w:r>
        <w:t>M&amp;A-Berater: Goldman Sachs International (Frankfurt) – Lead Senior Banker Dr. Klaus Bessler.</w:t>
        <w:br/>
        <w:t>Rechtsberatung: Hengeler Mueller (Frankfurt) – Lead Partner Dr. Martin Klusmann.</w:t>
        <w:br/>
        <w:t>Financial DD: KPMG Deal Advisory (Frankfurt) – Lead Director Susanne Lehmann.</w:t>
        <w:br/>
        <w:t>Tax DD: PwC Tax (Prag) – Lead Tax Director Tomas Havel.</w:t>
        <w:br/>
        <w:t>Strategie-/Tech-DD: Roland Berger Muenchen – Lead Partner Dr. Stefan Vogel.</w:t>
        <w:br/>
        <w:t>Interne Projektleitung: Stefan Richter (Vorstand BD/M&amp;A) – ab 1.4.2023 etabliert; vor diesem Datum verantwortet durch die zustaendigen Vorstandsmitglieder ad interim.</w:t>
      </w:r>
    </w:p>
    <w:p>
      <w:pPr>
        <w:pStyle w:val="Heading3"/>
      </w:pPr>
      <w:r>
        <w:t>Unterschriften</w:t>
      </w:r>
    </w:p>
    <w:p>
      <w:r>
        <w:t>Ort, Datum: Frankfurt am Main, den 18. September 2018</w:t>
      </w:r>
    </w:p>
    <w:p>
      <w:r>
        <w:t>_________________________            _________________________</w:t>
        <w:br/>
        <w:t>Anna Mueller                          Veraeusserer / JV-Partner Vertreter:in</w:t>
        <w:br/>
        <w:t>CEO i. V. Brennhagen Elektronik AG                          —</w:t>
        <w:br/>
        <w:t>Brennhagen Elektronik AG                       Brennhagen Czech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