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Bewertungsmodell #015</w:t>
      </w:r>
    </w:p>
    <w:p>
      <w:pPr>
        <w:jc w:val="center"/>
      </w:pPr>
      <w:r>
        <w:t>Strategischer Prozess 2023/2024 | Target-Code T-001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T-001 (»BMS-Soft GmbH«, Aachen). Strategisches Thema: Embedded BMS-Software, Modell-basierte Entwicklung (Matlab/Simulink). Deal-Rationale: Vertikale Integration BMS-12 Software-Stack; Reduktion externer Lizenzen. Datum: 27. Februar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Modellstruktur</w:t>
      </w:r>
    </w:p>
    <w:p>
      <w:r>
        <w:t>DCF-Bewertungsmodell (Excel, Version v15) fuer Target T-001. Aufbau: (1) Historie FY 2021–2023, (2) Forecast FY 2024–2030 (7 Jahre explicit period), (3) Terminal-Value (Gordon-Growth), (4) WACC-Komponenten, (5) Sensitivitaeten, (6) Football-Field. Plausibilisierung durch KPMG Deal Advisory.</w:t>
      </w:r>
    </w:p>
    <w:p>
      <w:pPr>
        <w:pStyle w:val="Heading3"/>
      </w:pPr>
      <w:r>
        <w:t>Forecast-Annahmen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Treiber</w:t>
            </w:r>
          </w:p>
        </w:tc>
        <w:tc>
          <w:tcPr>
            <w:tcW w:type="dxa" w:w="1440"/>
          </w:tcPr>
          <w:p>
            <w:r>
              <w:t>FY 2024e</w:t>
            </w:r>
          </w:p>
        </w:tc>
        <w:tc>
          <w:tcPr>
            <w:tcW w:type="dxa" w:w="1440"/>
          </w:tcPr>
          <w:p>
            <w:r>
              <w:t>FY 2025e</w:t>
            </w:r>
          </w:p>
        </w:tc>
        <w:tc>
          <w:tcPr>
            <w:tcW w:type="dxa" w:w="1440"/>
          </w:tcPr>
          <w:p>
            <w:r>
              <w:t>FY 2026e</w:t>
            </w:r>
          </w:p>
        </w:tc>
        <w:tc>
          <w:tcPr>
            <w:tcW w:type="dxa" w:w="1440"/>
          </w:tcPr>
          <w:p>
            <w:r>
              <w:t>FY 2027e</w:t>
            </w:r>
          </w:p>
        </w:tc>
        <w:tc>
          <w:tcPr>
            <w:tcW w:type="dxa" w:w="1440"/>
          </w:tcPr>
          <w:p>
            <w:r>
              <w:t>FY 2028e</w:t>
            </w:r>
          </w:p>
        </w:tc>
      </w:tr>
      <w:tr>
        <w:tc>
          <w:tcPr>
            <w:tcW w:type="dxa" w:w="1440"/>
          </w:tcPr>
          <w:p>
            <w:r>
              <w:t>Umsatzwachstum y/y</w:t>
            </w:r>
          </w:p>
        </w:tc>
        <w:tc>
          <w:tcPr>
            <w:tcW w:type="dxa" w:w="1440"/>
          </w:tcPr>
          <w:p>
            <w:r>
              <w:t>+18 %</w:t>
            </w:r>
          </w:p>
        </w:tc>
        <w:tc>
          <w:tcPr>
            <w:tcW w:type="dxa" w:w="1440"/>
          </w:tcPr>
          <w:p>
            <w:r>
              <w:t>+22 %</w:t>
            </w:r>
          </w:p>
        </w:tc>
        <w:tc>
          <w:tcPr>
            <w:tcW w:type="dxa" w:w="1440"/>
          </w:tcPr>
          <w:p>
            <w:r>
              <w:t>+18 %</w:t>
            </w:r>
          </w:p>
        </w:tc>
        <w:tc>
          <w:tcPr>
            <w:tcW w:type="dxa" w:w="1440"/>
          </w:tcPr>
          <w:p>
            <w:r>
              <w:t>+14 %</w:t>
            </w:r>
          </w:p>
        </w:tc>
        <w:tc>
          <w:tcPr>
            <w:tcW w:type="dxa" w:w="1440"/>
          </w:tcPr>
          <w:p>
            <w:r>
              <w:t>+11 %</w:t>
            </w:r>
          </w:p>
        </w:tc>
      </w:tr>
      <w:tr>
        <w:tc>
          <w:tcPr>
            <w:tcW w:type="dxa" w:w="1440"/>
          </w:tcPr>
          <w:p>
            <w:r>
              <w:t>EBITDA-Marge</w:t>
            </w:r>
          </w:p>
        </w:tc>
        <w:tc>
          <w:tcPr>
            <w:tcW w:type="dxa" w:w="1440"/>
          </w:tcPr>
          <w:p>
            <w:r>
              <w:t>15,1 %</w:t>
            </w:r>
          </w:p>
        </w:tc>
        <w:tc>
          <w:tcPr>
            <w:tcW w:type="dxa" w:w="1440"/>
          </w:tcPr>
          <w:p>
            <w:r>
              <w:t>16,8 %</w:t>
            </w:r>
          </w:p>
        </w:tc>
        <w:tc>
          <w:tcPr>
            <w:tcW w:type="dxa" w:w="1440"/>
          </w:tcPr>
          <w:p>
            <w:r>
              <w:t>17,9 %</w:t>
            </w:r>
          </w:p>
        </w:tc>
        <w:tc>
          <w:tcPr>
            <w:tcW w:type="dxa" w:w="1440"/>
          </w:tcPr>
          <w:p>
            <w:r>
              <w:t>18,4 %</w:t>
            </w:r>
          </w:p>
        </w:tc>
        <w:tc>
          <w:tcPr>
            <w:tcW w:type="dxa" w:w="1440"/>
          </w:tcPr>
          <w:p>
            <w:r>
              <w:t>18,8 %</w:t>
            </w:r>
          </w:p>
        </w:tc>
      </w:tr>
      <w:tr>
        <w:tc>
          <w:tcPr>
            <w:tcW w:type="dxa" w:w="1440"/>
          </w:tcPr>
          <w:p>
            <w:r>
              <w:t>CAPEX/Umsatz</w:t>
            </w:r>
          </w:p>
        </w:tc>
        <w:tc>
          <w:tcPr>
            <w:tcW w:type="dxa" w:w="1440"/>
          </w:tcPr>
          <w:p>
            <w:r>
              <w:t>5,2 %</w:t>
            </w:r>
          </w:p>
        </w:tc>
        <w:tc>
          <w:tcPr>
            <w:tcW w:type="dxa" w:w="1440"/>
          </w:tcPr>
          <w:p>
            <w:r>
              <w:t>4,8 %</w:t>
            </w:r>
          </w:p>
        </w:tc>
        <w:tc>
          <w:tcPr>
            <w:tcW w:type="dxa" w:w="1440"/>
          </w:tcPr>
          <w:p>
            <w:r>
              <w:t>4,3 %</w:t>
            </w:r>
          </w:p>
        </w:tc>
        <w:tc>
          <w:tcPr>
            <w:tcW w:type="dxa" w:w="1440"/>
          </w:tcPr>
          <w:p>
            <w:r>
              <w:t>3,9 %</w:t>
            </w:r>
          </w:p>
        </w:tc>
        <w:tc>
          <w:tcPr>
            <w:tcW w:type="dxa" w:w="1440"/>
          </w:tcPr>
          <w:p>
            <w:r>
              <w:t>3,7 %</w:t>
            </w:r>
          </w:p>
        </w:tc>
      </w:tr>
      <w:tr>
        <w:tc>
          <w:tcPr>
            <w:tcW w:type="dxa" w:w="1440"/>
          </w:tcPr>
          <w:p>
            <w:r>
              <w:t>NWC-Intensitaet</w:t>
            </w:r>
          </w:p>
        </w:tc>
        <w:tc>
          <w:tcPr>
            <w:tcW w:type="dxa" w:w="1440"/>
          </w:tcPr>
          <w:p>
            <w:r>
              <w:t>16,0 %</w:t>
            </w:r>
          </w:p>
        </w:tc>
        <w:tc>
          <w:tcPr>
            <w:tcW w:type="dxa" w:w="1440"/>
          </w:tcPr>
          <w:p>
            <w:r>
              <w:t>15,5 %</w:t>
            </w:r>
          </w:p>
        </w:tc>
        <w:tc>
          <w:tcPr>
            <w:tcW w:type="dxa" w:w="1440"/>
          </w:tcPr>
          <w:p>
            <w:r>
              <w:t>15,0 %</w:t>
            </w:r>
          </w:p>
        </w:tc>
        <w:tc>
          <w:tcPr>
            <w:tcW w:type="dxa" w:w="1440"/>
          </w:tcPr>
          <w:p>
            <w:r>
              <w:t>14,8 %</w:t>
            </w:r>
          </w:p>
        </w:tc>
        <w:tc>
          <w:tcPr>
            <w:tcW w:type="dxa" w:w="1440"/>
          </w:tcPr>
          <w:p>
            <w:r>
              <w:t>14,6 %</w:t>
            </w:r>
          </w:p>
        </w:tc>
      </w:tr>
    </w:tbl>
    <w:p>
      <w:pPr>
        <w:pStyle w:val="Heading3"/>
      </w:pPr>
      <w:r>
        <w:t>WACC-Herleitung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Komponente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Risikofreier Zins (Bund 10Y, Stichtag)</w:t>
            </w:r>
          </w:p>
        </w:tc>
        <w:tc>
          <w:tcPr>
            <w:tcW w:type="dxa" w:w="4320"/>
          </w:tcPr>
          <w:p>
            <w:r>
              <w:t>2,4 %</w:t>
            </w:r>
          </w:p>
        </w:tc>
      </w:tr>
      <w:tr>
        <w:tc>
          <w:tcPr>
            <w:tcW w:type="dxa" w:w="4320"/>
          </w:tcPr>
          <w:p>
            <w:r>
              <w:t>Eigenkapital-Risikopraemie (MRP)</w:t>
            </w:r>
          </w:p>
        </w:tc>
        <w:tc>
          <w:tcPr>
            <w:tcW w:type="dxa" w:w="4320"/>
          </w:tcPr>
          <w:p>
            <w:r>
              <w:t>5,5 %</w:t>
            </w:r>
          </w:p>
        </w:tc>
      </w:tr>
      <w:tr>
        <w:tc>
          <w:tcPr>
            <w:tcW w:type="dxa" w:w="4320"/>
          </w:tcPr>
          <w:p>
            <w:r>
              <w:t>Beta (peer-adjusted, unlevered)</w:t>
            </w:r>
          </w:p>
        </w:tc>
        <w:tc>
          <w:tcPr>
            <w:tcW w:type="dxa" w:w="4320"/>
          </w:tcPr>
          <w:p>
            <w:r>
              <w:t>1,15</w:t>
            </w:r>
          </w:p>
        </w:tc>
      </w:tr>
      <w:tr>
        <w:tc>
          <w:tcPr>
            <w:tcW w:type="dxa" w:w="4320"/>
          </w:tcPr>
          <w:p>
            <w:r>
              <w:t>Beta (re-levered)</w:t>
            </w:r>
          </w:p>
        </w:tc>
        <w:tc>
          <w:tcPr>
            <w:tcW w:type="dxa" w:w="4320"/>
          </w:tcPr>
          <w:p>
            <w:r>
              <w:t>1,28</w:t>
            </w:r>
          </w:p>
        </w:tc>
      </w:tr>
      <w:tr>
        <w:tc>
          <w:tcPr>
            <w:tcW w:type="dxa" w:w="4320"/>
          </w:tcPr>
          <w:p>
            <w:r>
              <w:t>Cost of Equity (CAPM)</w:t>
            </w:r>
          </w:p>
        </w:tc>
        <w:tc>
          <w:tcPr>
            <w:tcW w:type="dxa" w:w="4320"/>
          </w:tcPr>
          <w:p>
            <w:r>
              <w:t>9,5 %</w:t>
            </w:r>
          </w:p>
        </w:tc>
      </w:tr>
      <w:tr>
        <w:tc>
          <w:tcPr>
            <w:tcW w:type="dxa" w:w="4320"/>
          </w:tcPr>
          <w:p>
            <w:r>
              <w:t>Cost of Debt (pre-tax)</w:t>
            </w:r>
          </w:p>
        </w:tc>
        <w:tc>
          <w:tcPr>
            <w:tcW w:type="dxa" w:w="4320"/>
          </w:tcPr>
          <w:p>
            <w:r>
              <w:t>4,8 %</w:t>
            </w:r>
          </w:p>
        </w:tc>
      </w:tr>
      <w:tr>
        <w:tc>
          <w:tcPr>
            <w:tcW w:type="dxa" w:w="4320"/>
          </w:tcPr>
          <w:p>
            <w:r>
              <w:t>Tax Shield (CIT 30 %)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Cost of Debt (post-tax)</w:t>
            </w:r>
          </w:p>
        </w:tc>
        <w:tc>
          <w:tcPr>
            <w:tcW w:type="dxa" w:w="4320"/>
          </w:tcPr>
          <w:p>
            <w:r>
              <w:t>3,4 %</w:t>
            </w:r>
          </w:p>
        </w:tc>
      </w:tr>
      <w:tr>
        <w:tc>
          <w:tcPr>
            <w:tcW w:type="dxa" w:w="4320"/>
          </w:tcPr>
          <w:p>
            <w:r>
              <w:t>Capital Structure (Debt/EV)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9,4 %</w:t>
            </w:r>
          </w:p>
        </w:tc>
      </w:tr>
    </w:tbl>
    <w:p>
      <w:pPr>
        <w:pStyle w:val="Heading3"/>
      </w:pPr>
      <w:r>
        <w:t>Bewertungs-Ergebnis (Football Field)</w:t>
      </w:r>
    </w:p>
    <w:p>
      <w:r>
        <w:t>Die Triangulation der Bewertungsmethoden ergibt eine Bewertungs-Range fuer das Equity Value von EUR 19,4 Mio. (untere Grenze, EV/EBITDA 8,5x) bis EUR 26,8 Mio. (obere Grenze, DCF mit Best-Case-Annahmen). Median: EUR 22,4 Mio. Empfohlene Verhandlungsbasis fuer LoI: EUR 20–24 Mio. EV (inklusive moeglichem Earn-Out von max. EUR 4 Mio.).</w:t>
      </w:r>
    </w:p>
    <w:p>
      <w:pPr>
        <w:pStyle w:val="Heading3"/>
      </w:pPr>
      <w:r>
        <w:t>Sensitivitaets-Analyse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WACC \ TGR</w:t>
            </w:r>
          </w:p>
        </w:tc>
        <w:tc>
          <w:tcPr>
            <w:tcW w:type="dxa" w:w="1728"/>
          </w:tcPr>
          <w:p>
            <w:r>
              <w:t>1,5 %</w:t>
            </w:r>
          </w:p>
        </w:tc>
        <w:tc>
          <w:tcPr>
            <w:tcW w:type="dxa" w:w="1728"/>
          </w:tcPr>
          <w:p>
            <w:r>
              <w:t>2,0 %</w:t>
            </w:r>
          </w:p>
        </w:tc>
        <w:tc>
          <w:tcPr>
            <w:tcW w:type="dxa" w:w="1728"/>
          </w:tcPr>
          <w:p>
            <w:r>
              <w:t>2,5 %</w:t>
            </w:r>
          </w:p>
        </w:tc>
        <w:tc>
          <w:tcPr>
            <w:tcW w:type="dxa" w:w="1728"/>
          </w:tcPr>
          <w:p>
            <w:r>
              <w:t>3,0 %</w:t>
            </w:r>
          </w:p>
        </w:tc>
      </w:tr>
      <w:tr>
        <w:tc>
          <w:tcPr>
            <w:tcW w:type="dxa" w:w="1728"/>
          </w:tcPr>
          <w:p>
            <w:r>
              <w:t>8,4 %</w:t>
            </w:r>
          </w:p>
        </w:tc>
        <w:tc>
          <w:tcPr>
            <w:tcW w:type="dxa" w:w="1728"/>
          </w:tcPr>
          <w:p>
            <w:r>
              <w:t>24,1</w:t>
            </w:r>
          </w:p>
        </w:tc>
        <w:tc>
          <w:tcPr>
            <w:tcW w:type="dxa" w:w="1728"/>
          </w:tcPr>
          <w:p>
            <w:r>
              <w:t>25,8</w:t>
            </w:r>
          </w:p>
        </w:tc>
        <w:tc>
          <w:tcPr>
            <w:tcW w:type="dxa" w:w="1728"/>
          </w:tcPr>
          <w:p>
            <w:r>
              <w:t>27,8</w:t>
            </w:r>
          </w:p>
        </w:tc>
        <w:tc>
          <w:tcPr>
            <w:tcW w:type="dxa" w:w="1728"/>
          </w:tcPr>
          <w:p>
            <w:r>
              <w:t>30,2</w:t>
            </w:r>
          </w:p>
        </w:tc>
      </w:tr>
      <w:tr>
        <w:tc>
          <w:tcPr>
            <w:tcW w:type="dxa" w:w="1728"/>
          </w:tcPr>
          <w:p>
            <w:r>
              <w:t>8,9 %</w:t>
            </w:r>
          </w:p>
        </w:tc>
        <w:tc>
          <w:tcPr>
            <w:tcW w:type="dxa" w:w="1728"/>
          </w:tcPr>
          <w:p>
            <w:r>
              <w:t>22,4</w:t>
            </w:r>
          </w:p>
        </w:tc>
        <w:tc>
          <w:tcPr>
            <w:tcW w:type="dxa" w:w="1728"/>
          </w:tcPr>
          <w:p>
            <w:r>
              <w:t>23,9</w:t>
            </w:r>
          </w:p>
        </w:tc>
        <w:tc>
          <w:tcPr>
            <w:tcW w:type="dxa" w:w="1728"/>
          </w:tcPr>
          <w:p>
            <w:r>
              <w:t>25,6</w:t>
            </w:r>
          </w:p>
        </w:tc>
        <w:tc>
          <w:tcPr>
            <w:tcW w:type="dxa" w:w="1728"/>
          </w:tcPr>
          <w:p>
            <w:r>
              <w:t>27,7</w:t>
            </w:r>
          </w:p>
        </w:tc>
      </w:tr>
      <w:tr>
        <w:tc>
          <w:tcPr>
            <w:tcW w:type="dxa" w:w="1728"/>
          </w:tcPr>
          <w:p>
            <w:r>
              <w:t>9,4 %</w:t>
            </w:r>
          </w:p>
        </w:tc>
        <w:tc>
          <w:tcPr>
            <w:tcW w:type="dxa" w:w="1728"/>
          </w:tcPr>
          <w:p>
            <w:r>
              <w:t>20,8</w:t>
            </w:r>
          </w:p>
        </w:tc>
        <w:tc>
          <w:tcPr>
            <w:tcW w:type="dxa" w:w="1728"/>
          </w:tcPr>
          <w:p>
            <w:r>
              <w:t>22,1</w:t>
            </w:r>
          </w:p>
        </w:tc>
        <w:tc>
          <w:tcPr>
            <w:tcW w:type="dxa" w:w="1728"/>
          </w:tcPr>
          <w:p>
            <w:r>
              <w:t>23,6</w:t>
            </w:r>
          </w:p>
        </w:tc>
        <w:tc>
          <w:tcPr>
            <w:tcW w:type="dxa" w:w="1728"/>
          </w:tcPr>
          <w:p>
            <w:r>
              <w:t>25,4</w:t>
            </w:r>
          </w:p>
        </w:tc>
      </w:tr>
      <w:tr>
        <w:tc>
          <w:tcPr>
            <w:tcW w:type="dxa" w:w="1728"/>
          </w:tcPr>
          <w:p>
            <w:r>
              <w:t>9,9 %</w:t>
            </w:r>
          </w:p>
        </w:tc>
        <w:tc>
          <w:tcPr>
            <w:tcW w:type="dxa" w:w="1728"/>
          </w:tcPr>
          <w:p>
            <w:r>
              <w:t>19,4</w:t>
            </w:r>
          </w:p>
        </w:tc>
        <w:tc>
          <w:tcPr>
            <w:tcW w:type="dxa" w:w="1728"/>
          </w:tcPr>
          <w:p>
            <w:r>
              <w:t>20,5</w:t>
            </w:r>
          </w:p>
        </w:tc>
        <w:tc>
          <w:tcPr>
            <w:tcW w:type="dxa" w:w="1728"/>
          </w:tcPr>
          <w:p>
            <w:r>
              <w:t>21,8</w:t>
            </w:r>
          </w:p>
        </w:tc>
        <w:tc>
          <w:tcPr>
            <w:tcW w:type="dxa" w:w="1728"/>
          </w:tcPr>
          <w:p>
            <w:r>
              <w:t>23,4</w:t>
            </w:r>
          </w:p>
        </w:tc>
      </w:tr>
      <w:tr>
        <w:tc>
          <w:tcPr>
            <w:tcW w:type="dxa" w:w="1728"/>
          </w:tcPr>
          <w:p>
            <w:r>
              <w:t>10,4 %</w:t>
            </w:r>
          </w:p>
        </w:tc>
        <w:tc>
          <w:tcPr>
            <w:tcW w:type="dxa" w:w="1728"/>
          </w:tcPr>
          <w:p>
            <w:r>
              <w:t>18,1</w:t>
            </w:r>
          </w:p>
        </w:tc>
        <w:tc>
          <w:tcPr>
            <w:tcW w:type="dxa" w:w="1728"/>
          </w:tcPr>
          <w:p>
            <w:r>
              <w:t>19,1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  <w:tc>
          <w:tcPr>
            <w:tcW w:type="dxa" w:w="1728"/>
          </w:tcPr>
          <w:p>
            <w:r>
              <w:t>21,6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