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M&amp;A Pipeline – Finanzanalyse #012</w:t>
      </w:r>
    </w:p>
    <w:p>
      <w:pPr>
        <w:jc w:val="center"/>
      </w:pPr>
      <w:r>
        <w:t>Strategischer Prozess 2023/2024 | Target-Code T-002 | Bearbeitung: Stefan Richter (Vorstand BD/M&amp;A) | Status: finalisiert</w:t>
      </w:r>
    </w:p>
    <w:p/>
    <w:p>
      <w:pPr>
        <w:pStyle w:val="Heading3"/>
      </w:pPr>
      <w:r>
        <w:t>Dokument</w:t>
      </w:r>
    </w:p>
    <w:p>
      <w:r>
        <w:t>Vertrauliches M&amp;A-Dokument im Rahmen des strategischen Prozesses 2023/2024 der Brennhagen Elektronik AG. Pipeline-Target: T-002 (»SensoFusion GmbH«, Karlsruhe). Strategisches Thema: Sensorfusion Radar/Lidar fuer Level-3-ADAS. Deal-Rationale: Ergaenzung ADAS-V4D-Portfolio mit Lidar-Fusion. Datum: 6. Februar 2024. Bearbeitung: Stefan Richter (Vorstand BD/M&amp;A, seit 1.4.2023). Externe Berater: Goldman Sachs Frankfurt (Dr. Klaus Bessler), Roland Berger (Dr. Stefan Vogel), KPMG Deal Advisory, Hengeler Mueller, PwC.</w:t>
      </w:r>
    </w:p>
    <w:p>
      <w:pPr>
        <w:pStyle w:val="Heading3"/>
      </w:pPr>
      <w:r>
        <w:t>Finanzielle Eckdaten Target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FY 2021</w:t>
            </w:r>
          </w:p>
        </w:tc>
        <w:tc>
          <w:tcPr>
            <w:tcW w:type="dxa" w:w="2160"/>
          </w:tcPr>
          <w:p>
            <w:r>
              <w:t>FY 2022</w:t>
            </w:r>
          </w:p>
        </w:tc>
        <w:tc>
          <w:tcPr>
            <w:tcW w:type="dxa" w:w="2160"/>
          </w:tcPr>
          <w:p>
            <w:r>
              <w:t>FY 2023</w:t>
            </w:r>
          </w:p>
        </w:tc>
      </w:tr>
      <w:tr>
        <w:tc>
          <w:tcPr>
            <w:tcW w:type="dxa" w:w="2160"/>
          </w:tcPr>
          <w:p>
            <w:r>
              <w:t>Umsatz</w:t>
            </w:r>
          </w:p>
        </w:tc>
        <w:tc>
          <w:tcPr>
            <w:tcW w:type="dxa" w:w="2160"/>
          </w:tcPr>
          <w:p>
            <w:r>
              <w:t>EUR 11,8 Mio.</w:t>
            </w:r>
          </w:p>
        </w:tc>
        <w:tc>
          <w:tcPr>
            <w:tcW w:type="dxa" w:w="2160"/>
          </w:tcPr>
          <w:p>
            <w:r>
              <w:t>EUR 13,4 Mio.</w:t>
            </w:r>
          </w:p>
        </w:tc>
        <w:tc>
          <w:tcPr>
            <w:tcW w:type="dxa" w:w="2160"/>
          </w:tcPr>
          <w:p>
            <w:r>
              <w:t>EUR 22,4 Mio. (FY 2023)</w:t>
            </w:r>
          </w:p>
        </w:tc>
      </w:tr>
      <w:tr>
        <w:tc>
          <w:tcPr>
            <w:tcW w:type="dxa" w:w="2160"/>
          </w:tcPr>
          <w:p>
            <w:r>
              <w:t>Umsatzwachstum y/y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+13,6 %</w:t>
            </w:r>
          </w:p>
        </w:tc>
        <w:tc>
          <w:tcPr>
            <w:tcW w:type="dxa" w:w="2160"/>
          </w:tcPr>
          <w:p>
            <w:r>
              <w:t>+11 %</w:t>
            </w:r>
          </w:p>
        </w:tc>
      </w:tr>
      <w:tr>
        <w:tc>
          <w:tcPr>
            <w:tcW w:type="dxa" w:w="2160"/>
          </w:tcPr>
          <w:p>
            <w:r>
              <w:t>EBITDA</w:t>
            </w:r>
          </w:p>
        </w:tc>
        <w:tc>
          <w:tcPr>
            <w:tcW w:type="dxa" w:w="2160"/>
          </w:tcPr>
          <w:p>
            <w:r>
              <w:t>EUR 1,4 Mio.</w:t>
            </w:r>
          </w:p>
        </w:tc>
        <w:tc>
          <w:tcPr>
            <w:tcW w:type="dxa" w:w="2160"/>
          </w:tcPr>
          <w:p>
            <w:r>
              <w:t>EUR 1,8 Mio.</w:t>
            </w:r>
          </w:p>
        </w:tc>
        <w:tc>
          <w:tcPr>
            <w:tcW w:type="dxa" w:w="2160"/>
          </w:tcPr>
          <w:p>
            <w:r>
              <w:t>EUR 3,8 Mio.</w:t>
            </w:r>
          </w:p>
        </w:tc>
      </w:tr>
      <w:tr>
        <w:tc>
          <w:tcPr>
            <w:tcW w:type="dxa" w:w="2160"/>
          </w:tcPr>
          <w:p>
            <w:r>
              <w:t>EBITDA-Marge</w:t>
            </w:r>
          </w:p>
        </w:tc>
        <w:tc>
          <w:tcPr>
            <w:tcW w:type="dxa" w:w="2160"/>
          </w:tcPr>
          <w:p>
            <w:r>
              <w:t>11,9 %</w:t>
            </w:r>
          </w:p>
        </w:tc>
        <w:tc>
          <w:tcPr>
            <w:tcW w:type="dxa" w:w="2160"/>
          </w:tcPr>
          <w:p>
            <w:r>
              <w:t>13,4 %</w:t>
            </w:r>
          </w:p>
        </w:tc>
        <w:tc>
          <w:tcPr>
            <w:tcW w:type="dxa" w:w="2160"/>
          </w:tcPr>
          <w:p>
            <w:r>
              <w:t>14,2 %</w:t>
            </w:r>
          </w:p>
        </w:tc>
      </w:tr>
      <w:tr>
        <w:tc>
          <w:tcPr>
            <w:tcW w:type="dxa" w:w="2160"/>
          </w:tcPr>
          <w:p>
            <w:r>
              <w:t>Working Capital (EUR Mio.)</w:t>
            </w:r>
          </w:p>
        </w:tc>
        <w:tc>
          <w:tcPr>
            <w:tcW w:type="dxa" w:w="2160"/>
          </w:tcPr>
          <w:p>
            <w:r>
              <w:t>1,8</w:t>
            </w:r>
          </w:p>
        </w:tc>
        <w:tc>
          <w:tcPr>
            <w:tcW w:type="dxa" w:w="2160"/>
          </w:tcPr>
          <w:p>
            <w:r>
              <w:t>2,2</w:t>
            </w:r>
          </w:p>
        </w:tc>
        <w:tc>
          <w:tcPr>
            <w:tcW w:type="dxa" w:w="2160"/>
          </w:tcPr>
          <w:p>
            <w:r>
              <w:t>2,4</w:t>
            </w:r>
          </w:p>
        </w:tc>
      </w:tr>
      <w:tr>
        <w:tc>
          <w:tcPr>
            <w:tcW w:type="dxa" w:w="2160"/>
          </w:tcPr>
          <w:p>
            <w:r>
              <w:t>Net Debt (EUR Mio.)</w:t>
            </w:r>
          </w:p>
        </w:tc>
        <w:tc>
          <w:tcPr>
            <w:tcW w:type="dxa" w:w="2160"/>
          </w:tcPr>
          <w:p>
            <w:r>
              <w:t>0,9</w:t>
            </w:r>
          </w:p>
        </w:tc>
        <w:tc>
          <w:tcPr>
            <w:tcW w:type="dxa" w:w="2160"/>
          </w:tcPr>
          <w:p>
            <w:r>
              <w:t>1,1</w:t>
            </w:r>
          </w:p>
        </w:tc>
        <w:tc>
          <w:tcPr>
            <w:tcW w:type="dxa" w:w="2160"/>
          </w:tcPr>
          <w:p>
            <w:r>
              <w:t>1,4</w:t>
            </w:r>
          </w:p>
        </w:tc>
      </w:tr>
      <w:tr>
        <w:tc>
          <w:tcPr>
            <w:tcW w:type="dxa" w:w="2160"/>
          </w:tcPr>
          <w:p>
            <w:r>
              <w:t>CAPEX (EUR Mio.)</w:t>
            </w:r>
          </w:p>
        </w:tc>
        <w:tc>
          <w:tcPr>
            <w:tcW w:type="dxa" w:w="2160"/>
          </w:tcPr>
          <w:p>
            <w:r>
              <w:t>0,4</w:t>
            </w:r>
          </w:p>
        </w:tc>
        <w:tc>
          <w:tcPr>
            <w:tcW w:type="dxa" w:w="2160"/>
          </w:tcPr>
          <w:p>
            <w:r>
              <w:t>0,6</w:t>
            </w:r>
          </w:p>
        </w:tc>
        <w:tc>
          <w:tcPr>
            <w:tcW w:type="dxa" w:w="2160"/>
          </w:tcPr>
          <w:p>
            <w:r>
              <w:t>0,7</w:t>
            </w:r>
          </w:p>
        </w:tc>
      </w:tr>
      <w:tr>
        <w:tc>
          <w:tcPr>
            <w:tcW w:type="dxa" w:w="2160"/>
          </w:tcPr>
          <w:p>
            <w:r>
              <w:t>F&amp;E-Quote</w:t>
            </w:r>
          </w:p>
        </w:tc>
        <w:tc>
          <w:tcPr>
            <w:tcW w:type="dxa" w:w="2160"/>
          </w:tcPr>
          <w:p>
            <w:r>
              <w:t>8,4 %</w:t>
            </w:r>
          </w:p>
        </w:tc>
        <w:tc>
          <w:tcPr>
            <w:tcW w:type="dxa" w:w="2160"/>
          </w:tcPr>
          <w:p>
            <w:r>
              <w:t>9,1 %</w:t>
            </w:r>
          </w:p>
        </w:tc>
        <w:tc>
          <w:tcPr>
            <w:tcW w:type="dxa" w:w="2160"/>
          </w:tcPr>
          <w:p>
            <w:r>
              <w:t>9,6 %</w:t>
            </w:r>
          </w:p>
        </w:tc>
      </w:tr>
      <w:tr>
        <w:tc>
          <w:tcPr>
            <w:tcW w:type="dxa" w:w="2160"/>
          </w:tcPr>
          <w:p>
            <w:r>
              <w:t>FTE (Anzahl)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112</w:t>
            </w:r>
          </w:p>
        </w:tc>
      </w:tr>
    </w:tbl>
    <w:p>
      <w:pPr>
        <w:pStyle w:val="Heading3"/>
      </w:pPr>
      <w:r>
        <w:t>EBITDA-Bridge / Adjustments (QoE-light)</w:t>
      </w:r>
    </w:p>
    <w:p>
      <w:r>
        <w:t>Bereinigung um Einmaleffekte: (a) Restrukturierung Q2/2022 +EUR 0,18 Mio.; (b) IPO-Vorbereitungskosten Verkaeufer-Seite +EUR 0,12 Mio. (verbleiben beim Verkaeufer); (c) Foerdermittel Einmal +EUR 0,08 Mio. (kein Run-Rate); (d) Personalkosten-Normalisierung Management -EUR 0,06 Mio. Bereinigtes EBITDA FY 2023: +EUR 0,32 Mio. ggue. Reported.</w:t>
      </w:r>
    </w:p>
    <w:p>
      <w:pPr>
        <w:pStyle w:val="Heading3"/>
      </w:pPr>
      <w:r>
        <w:t>Cash-Conversion und Bilanz-Struktur</w:t>
      </w:r>
    </w:p>
    <w:p>
      <w:r>
        <w:t>Cash-Conversion (FCF/EBITDA) durchschnittlich 68 % ueber FY 2021–2023; Working-Capital-Intensitaet (NWC / Umsatz) 16,2 %. Bilanzstruktur: Eigenkapital-Quote 41 %; Net-Debt/EBITDA 0,7x; kurzfristige Verbindlichkeiten 38 %. Pensionsrueckstellungen unter EUR 0,1 Mio.</w:t>
      </w:r>
    </w:p>
    <w:p>
      <w:pPr>
        <w:pStyle w:val="Heading3"/>
      </w:pPr>
      <w:r>
        <w:t>Bewertung (vorlaeufig)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Methode</w:t>
            </w:r>
          </w:p>
        </w:tc>
        <w:tc>
          <w:tcPr>
            <w:tcW w:type="dxa" w:w="2880"/>
          </w:tcPr>
          <w:p>
            <w:r>
              <w:t>Multiple / Annahme</w:t>
            </w:r>
          </w:p>
        </w:tc>
        <w:tc>
          <w:tcPr>
            <w:tcW w:type="dxa" w:w="2880"/>
          </w:tcPr>
          <w:p>
            <w:r>
              <w:t>Equity Value (EUR Mio.)</w:t>
            </w:r>
          </w:p>
        </w:tc>
      </w:tr>
      <w:tr>
        <w:tc>
          <w:tcPr>
            <w:tcW w:type="dxa" w:w="2880"/>
          </w:tcPr>
          <w:p>
            <w:r>
              <w:t>EV/EBITDA 8,5x (FY 2023)</w:t>
            </w:r>
          </w:p>
        </w:tc>
        <w:tc>
          <w:tcPr>
            <w:tcW w:type="dxa" w:w="2880"/>
          </w:tcPr>
          <w:p>
            <w:r>
              <w:t>8,5x EUR 2,1 Mio.</w:t>
            </w:r>
          </w:p>
        </w:tc>
        <w:tc>
          <w:tcPr>
            <w:tcW w:type="dxa" w:w="2880"/>
          </w:tcPr>
          <w:p>
            <w:r>
              <w:t>17,9</w:t>
            </w:r>
          </w:p>
        </w:tc>
      </w:tr>
      <w:tr>
        <w:tc>
          <w:tcPr>
            <w:tcW w:type="dxa" w:w="2880"/>
          </w:tcPr>
          <w:p>
            <w:r>
              <w:t>EV/EBITDA 11,0x (FY 2025e)</w:t>
            </w:r>
          </w:p>
        </w:tc>
        <w:tc>
          <w:tcPr>
            <w:tcW w:type="dxa" w:w="2880"/>
          </w:tcPr>
          <w:p>
            <w:r>
              <w:t>11,0x EUR 3,2 Mio.</w:t>
            </w:r>
          </w:p>
        </w:tc>
        <w:tc>
          <w:tcPr>
            <w:tcW w:type="dxa" w:w="2880"/>
          </w:tcPr>
          <w:p>
            <w:r>
              <w:t>35,2</w:t>
            </w:r>
          </w:p>
        </w:tc>
      </w:tr>
      <w:tr>
        <w:tc>
          <w:tcPr>
            <w:tcW w:type="dxa" w:w="2880"/>
          </w:tcPr>
          <w:p>
            <w:r>
              <w:t>EV/Umsatz 1,4x (FY 2023)</w:t>
            </w:r>
          </w:p>
        </w:tc>
        <w:tc>
          <w:tcPr>
            <w:tcW w:type="dxa" w:w="2880"/>
          </w:tcPr>
          <w:p>
            <w:r>
              <w:t>1,4x EUR 14,8 Mio.</w:t>
            </w:r>
          </w:p>
        </w:tc>
        <w:tc>
          <w:tcPr>
            <w:tcW w:type="dxa" w:w="2880"/>
          </w:tcPr>
          <w:p>
            <w:r>
              <w:t>20,7</w:t>
            </w:r>
          </w:p>
        </w:tc>
      </w:tr>
      <w:tr>
        <w:tc>
          <w:tcPr>
            <w:tcW w:type="dxa" w:w="2880"/>
          </w:tcPr>
          <w:p>
            <w:r>
              <w:t>DCF (WACC 9,4 %, TGR 2,5 %)</w:t>
            </w:r>
          </w:p>
        </w:tc>
        <w:tc>
          <w:tcPr>
            <w:tcW w:type="dxa" w:w="2880"/>
          </w:tcPr>
          <w:p>
            <w:r>
              <w:t>DCF-Modell v15</w:t>
            </w:r>
          </w:p>
        </w:tc>
        <w:tc>
          <w:tcPr>
            <w:tcW w:type="dxa" w:w="2880"/>
          </w:tcPr>
          <w:p>
            <w:r>
              <w:t>22,4</w:t>
            </w:r>
          </w:p>
        </w:tc>
      </w:tr>
      <w:tr>
        <w:tc>
          <w:tcPr>
            <w:tcW w:type="dxa" w:w="2880"/>
          </w:tcPr>
          <w:p>
            <w:r>
              <w:t>Football-Field Median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21,0–24,0</w:t>
            </w:r>
          </w:p>
        </w:tc>
      </w:tr>
    </w:tbl>
    <w:p>
      <w:pPr>
        <w:pStyle w:val="Heading3"/>
      </w:pPr>
      <w:r>
        <w:t>Naechste Schritte</w:t>
      </w:r>
    </w:p>
    <w:p>
      <w:r>
        <w:t>Verfeinerung Forecast 2024–2027 mit Management-Plan; Sensitivitaets-Analyse WACC ±100 bp; Marktvergleich Multiples (Bloomberg / Capital IQ); finale Football-Field zur SteerCo in der KW 6..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