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M&amp;A Pipeline – First Approach #007</w:t>
      </w:r>
    </w:p>
    <w:p>
      <w:pPr>
        <w:jc w:val="center"/>
      </w:pPr>
      <w:r>
        <w:t>Strategischer Prozess 2023/2024 | Target-Code T-004 | Bearbeitung: Stefan Richter (Vorstand BD/M&amp;A) | Status: finalisiert</w:t>
      </w:r>
    </w:p>
    <w:p/>
    <w:p>
      <w:pPr>
        <w:pStyle w:val="Heading3"/>
      </w:pPr>
      <w:r>
        <w:t>Dokument</w:t>
      </w:r>
    </w:p>
    <w:p>
      <w:r>
        <w:t>Vertrauliches M&amp;A-Dokument im Rahmen des strategischen Prozesses 2023/2024 der Brennhagen Elektronik AG. Pipeline-Target: T-004 (»DriveTech Innovations s.r.o.«, Prag (CZ)). Strategisches Thema: AUTOSAR Adaptive Toolchain; Software-Defined-Vehicle. Deal-Rationale: Beschleunigung Software-Stack Adaptive AUTOSAR. Datum: 8. Dezember 2023. Bearbeitung: Stefan Richter (Vorstand BD/M&amp;A, seit 1.4.2023). Externe Berater: Goldman Sachs Frankfurt (Dr. Klaus Bessler), Roland Berger (Dr. Stefan Vogel), KPMG Deal Advisory, Hengeler Mueller, PwC.</w:t>
      </w:r>
    </w:p>
    <w:p>
      <w:pPr>
        <w:pStyle w:val="Heading3"/>
      </w:pPr>
      <w:r>
        <w:t>Erstansprache Verkaeufer / Eigentuemer</w:t>
      </w:r>
    </w:p>
    <w:p>
      <w:r>
        <w:t>Stefan Richter (Vorstand BD/M&amp;A) hat am 8. Dezember 2023 ein Erstgespraech mit der Geschaeftsfuehrung des Targets DriveTech Innovations s.r.o. gefuehrt. Setting: persoenliches Treffen in den Raeumen von Goldman Sachs Frankfurt; Roland Berger als Strategie-Berater anwesend. Verkaeufer-Seite vertreten durch Mehrheits-Gesellschafter und Geschaeftsfuehrer.</w:t>
      </w:r>
    </w:p>
    <w:p>
      <w:pPr>
        <w:pStyle w:val="Heading3"/>
      </w:pPr>
      <w:r>
        <w:t>Erkenntnisse aus dem Gespraech</w:t>
      </w:r>
    </w:p>
    <w:p>
      <w:pPr>
        <w:pStyle w:val="ListBullet"/>
      </w:pPr>
      <w:r>
        <w:t>Gesellschafter grundsaetzlich verkaufsbereit (Wechsel in den Ruhestand des Hauptgesellschafters ab Anfang 2025).</w:t>
      </w:r>
    </w:p>
    <w:p>
      <w:pPr>
        <w:pStyle w:val="ListBullet"/>
      </w:pPr>
      <w:r>
        <w:t>Wertvorstellung Verkaeufer: »oberhalb von 30 Mio. EUR Enterprise Value«; Wertvorstellung Erwerber (Brennhagen): EUR 20–24 Mio. EV.</w:t>
      </w:r>
    </w:p>
    <w:p>
      <w:pPr>
        <w:pStyle w:val="ListBullet"/>
      </w:pPr>
      <w:r>
        <w:t>Geschaeftsfuehrer Operations bleibt verfuegbar fuer Earn-Out-Phase (mind. 24 Monate); CTO-Schluesselperson (Eigentuemer-Sohn) wird ggfs. Lock-up-Vereinbarung benoetigen.</w:t>
      </w:r>
    </w:p>
    <w:p>
      <w:pPr>
        <w:pStyle w:val="ListBullet"/>
      </w:pPr>
      <w:r>
        <w:t>Datenraum-Setup durch Lazard / KPMG bereits vorbereitet; Eroeffnung nach NDA und LoI moeglich.</w:t>
      </w:r>
    </w:p>
    <w:p>
      <w:pPr>
        <w:pStyle w:val="ListBullet"/>
      </w:pPr>
      <w:r>
        <w:t>Zeitplan-Erwartung Verkaeufer: Signing bis Q2/2024; Closing Q3/2024.</w:t>
      </w:r>
    </w:p>
    <w:p>
      <w:pPr>
        <w:pStyle w:val="Heading3"/>
      </w:pPr>
      <w:r>
        <w:t>Ergebnis und Empfehlung</w:t>
      </w:r>
    </w:p>
    <w:p>
      <w:r>
        <w:t>Empfehlung an Vorstand: Fortsetzung des Prozesses durch (a) Versand NDA (Hengeler Mueller Template); (b) anschliessend nicht-bindender LoI mit indikativer Bewertung in der Range EUR 20–24 Mio. EV; (c) DD-Setup; (d) AR-Information ueber Pre-Termsheet-Brief. Risikoeinschaetzung: Wertvorstellung-Gap zu schliessen ueber Earn-Out-Struktur und vendor financing.</w:t>
      </w:r>
    </w:p>
    <w:p>
      <w:pPr>
        <w:pStyle w:val="Heading3"/>
      </w:pPr>
      <w:r>
        <w:t>Naechste Aktionen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Aktion</w:t>
            </w:r>
          </w:p>
        </w:tc>
        <w:tc>
          <w:tcPr>
            <w:tcW w:type="dxa" w:w="2880"/>
          </w:tcPr>
          <w:p>
            <w:r>
              <w:t>Verantwortlich</w:t>
            </w:r>
          </w:p>
        </w:tc>
        <w:tc>
          <w:tcPr>
            <w:tcW w:type="dxa" w:w="2880"/>
          </w:tcPr>
          <w:p>
            <w:r>
              <w:t>Termin</w:t>
            </w:r>
          </w:p>
        </w:tc>
      </w:tr>
      <w:tr>
        <w:tc>
          <w:tcPr>
            <w:tcW w:type="dxa" w:w="2880"/>
          </w:tcPr>
          <w:p>
            <w:r>
              <w:t>NDA-Versand</w:t>
            </w:r>
          </w:p>
        </w:tc>
        <w:tc>
          <w:tcPr>
            <w:tcW w:type="dxa" w:w="2880"/>
          </w:tcPr>
          <w:p>
            <w:r>
              <w:t>Hengeler Mueller / S. Richter</w:t>
            </w:r>
          </w:p>
        </w:tc>
        <w:tc>
          <w:tcPr>
            <w:tcW w:type="dxa" w:w="2880"/>
          </w:tcPr>
          <w:p>
            <w:r>
              <w:t>+5 Tage</w:t>
            </w:r>
          </w:p>
        </w:tc>
      </w:tr>
      <w:tr>
        <w:tc>
          <w:tcPr>
            <w:tcW w:type="dxa" w:w="2880"/>
          </w:tcPr>
          <w:p>
            <w:r>
              <w:t>Indikativer LoI / Term Sheet</w:t>
            </w:r>
          </w:p>
        </w:tc>
        <w:tc>
          <w:tcPr>
            <w:tcW w:type="dxa" w:w="2880"/>
          </w:tcPr>
          <w:p>
            <w:r>
              <w:t>Goldman Sachs / S. Richter</w:t>
            </w:r>
          </w:p>
        </w:tc>
        <w:tc>
          <w:tcPr>
            <w:tcW w:type="dxa" w:w="2880"/>
          </w:tcPr>
          <w:p>
            <w:r>
              <w:t>+10 Tage</w:t>
            </w:r>
          </w:p>
        </w:tc>
      </w:tr>
      <w:tr>
        <w:tc>
          <w:tcPr>
            <w:tcW w:type="dxa" w:w="2880"/>
          </w:tcPr>
          <w:p>
            <w:r>
              <w:t>AR-Pruefungsausschuss-Briefing</w:t>
            </w:r>
          </w:p>
        </w:tc>
        <w:tc>
          <w:tcPr>
            <w:tcW w:type="dxa" w:w="2880"/>
          </w:tcPr>
          <w:p>
            <w:r>
              <w:t>S. Richter / Anna Mueller</w:t>
            </w:r>
          </w:p>
        </w:tc>
        <w:tc>
          <w:tcPr>
            <w:tcW w:type="dxa" w:w="2880"/>
          </w:tcPr>
          <w:p>
            <w:r>
              <w:t>+14 Tage</w:t>
            </w:r>
          </w:p>
        </w:tc>
      </w:tr>
      <w:tr>
        <w:tc>
          <w:tcPr>
            <w:tcW w:type="dxa" w:w="2880"/>
          </w:tcPr>
          <w:p>
            <w:r>
              <w:t>DD-Beraterteam-Beauftragung</w:t>
            </w:r>
          </w:p>
        </w:tc>
        <w:tc>
          <w:tcPr>
            <w:tcW w:type="dxa" w:w="2880"/>
          </w:tcPr>
          <w:p>
            <w:r>
              <w:t>S. Richter / Florian Maier</w:t>
            </w:r>
          </w:p>
        </w:tc>
        <w:tc>
          <w:tcPr>
            <w:tcW w:type="dxa" w:w="2880"/>
          </w:tcPr>
          <w:p>
            <w:r>
              <w:t>+21 Tage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