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Management Meeting #022</w:t>
      </w:r>
    </w:p>
    <w:p>
      <w:pPr>
        <w:jc w:val="center"/>
      </w:pPr>
      <w:r>
        <w:t>Strategischer Prozess 2023/2024 | Target-Code T-005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T-005 (»EnergiSoft B.V.«, Eindhoven (NL)). Strategisches Thema: Energy-Management-SaaS / Cloud-basierte Fleet-Analytics. Deal-Rationale: Aufbau dritte Saeule »Energie-SaaS« gemaess Strategie NEXT. Datum: 26. Maerz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Teilnehmende</w:t>
      </w:r>
    </w:p>
    <w:p>
      <w:r>
        <w:t>Brennhagen-Seite: Stefan Richter (Vorstand BD/M&amp;A, Verhandlungsfuehrung), Laura Bauer (CFO, Bewertung/Finanzierung), Dr. Klaus Bessler (Goldman Sachs Frankfurt, Lead Banker), Dr. Stefan Vogel (Roland Berger, Strategie-Berater).</w:t>
      </w:r>
    </w:p>
    <w:p>
      <w:r>
        <w:t>Target-Seite (EnergiSoft B.V.): Geschaeftsfuehrung (CEO, CFO), Lead-Engineer / CTO sowie Verkaeufer-Berater (Lazard / KPMG).</w:t>
      </w:r>
    </w:p>
    <w:p>
      <w:pPr>
        <w:pStyle w:val="Heading3"/>
      </w:pPr>
      <w:r>
        <w:t>Diskussionspunkte</w:t>
      </w:r>
    </w:p>
    <w:p>
      <w:pPr>
        <w:pStyle w:val="ListBullet"/>
      </w:pPr>
      <w:r>
        <w:t>Strategische Logik der Transaktion aus Brennhagen-Sicht (Strategie 2026 »NEXT«, Saeulen BMS / ADAS / Software-as-a-Service).</w:t>
      </w:r>
    </w:p>
    <w:p>
      <w:pPr>
        <w:pStyle w:val="ListBullet"/>
      </w:pPr>
      <w:r>
        <w:t>Integrations-Konzept (PMI-Plan; Standort-Strategie; Fortbestand der Marke fuer Transition-Phase).</w:t>
      </w:r>
    </w:p>
    <w:p>
      <w:pPr>
        <w:pStyle w:val="ListBullet"/>
      </w:pPr>
      <w:r>
        <w:t>Bewertungs-Diskussion: Brennhagen-Range EUR 20–24 Mio.; Verkaeufer-Forderung EUR 30+ Mio.; Brueckenbildung ueber Earn-Out (max. EUR 4 Mio. ueber 24 Monate, EBITDA-Hurdle).</w:t>
      </w:r>
    </w:p>
    <w:p>
      <w:pPr>
        <w:pStyle w:val="ListBullet"/>
      </w:pPr>
      <w:r>
        <w:t>Lock-up der Schluesselperson CTO (12 Monate post-closing) und Retention-Bonus (EUR 280.000 pro Person ueber 24 Monate).</w:t>
      </w:r>
    </w:p>
    <w:p>
      <w:pPr>
        <w:pStyle w:val="ListBullet"/>
      </w:pPr>
      <w:r>
        <w:t>Kunden- und Lieferanten-Kommunikation: gemeinsame OEM-Calls binnen 2 Wochen nach Closing-Ankuendigung.</w:t>
      </w:r>
    </w:p>
    <w:p>
      <w:pPr>
        <w:pStyle w:val="Heading3"/>
      </w:pPr>
      <w:r>
        <w:t>Beschluesse / Aktionspunkte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Aktion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Term Sheet 2.0 mit Earn-Out-Struktur ausarbeiten</w:t>
            </w:r>
          </w:p>
        </w:tc>
        <w:tc>
          <w:tcPr>
            <w:tcW w:type="dxa" w:w="2160"/>
          </w:tcPr>
          <w:p>
            <w:r>
              <w:t>Goldman Sachs / S. Richter</w:t>
            </w:r>
          </w:p>
        </w:tc>
        <w:tc>
          <w:tcPr>
            <w:tcW w:type="dxa" w:w="2160"/>
          </w:tcPr>
          <w:p>
            <w:r>
              <w:t>+7 Tage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Retention-Bonus-Konzept abstimmen mit HR / Compensation</w:t>
            </w:r>
          </w:p>
        </w:tc>
        <w:tc>
          <w:tcPr>
            <w:tcW w:type="dxa" w:w="2160"/>
          </w:tcPr>
          <w:p>
            <w:r>
              <w:t>L. Bauer / B. Schmitt</w:t>
            </w:r>
          </w:p>
        </w:tc>
        <w:tc>
          <w:tcPr>
            <w:tcW w:type="dxa" w:w="2160"/>
          </w:tcPr>
          <w:p>
            <w:r>
              <w:t>+10 Tage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DD-Phase-2 (Site-Visit, Tech-DD vor Ort)</w:t>
            </w:r>
          </w:p>
        </w:tc>
        <w:tc>
          <w:tcPr>
            <w:tcW w:type="dxa" w:w="2160"/>
          </w:tcPr>
          <w:p>
            <w:r>
              <w:t>Roland Berger / Brennhagen Engineering</w:t>
            </w:r>
          </w:p>
        </w:tc>
        <w:tc>
          <w:tcPr>
            <w:tcW w:type="dxa" w:w="2160"/>
          </w:tcPr>
          <w:p>
            <w:r>
              <w:t>+14 Tage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AR-Pruefungsausschuss-Update</w:t>
            </w:r>
          </w:p>
        </w:tc>
        <w:tc>
          <w:tcPr>
            <w:tcW w:type="dxa" w:w="2160"/>
          </w:tcPr>
          <w:p>
            <w:r>
              <w:t>S. Richter</w:t>
            </w:r>
          </w:p>
        </w:tc>
        <w:tc>
          <w:tcPr>
            <w:tcW w:type="dxa" w:w="2160"/>
          </w:tcPr>
          <w:p>
            <w:r>
              <w:t>+21 Tage</w:t>
            </w:r>
          </w:p>
        </w:tc>
      </w:tr>
    </w:tbl>
    <w:p>
      <w:pPr>
        <w:pStyle w:val="Heading3"/>
      </w:pPr>
      <w:r>
        <w:t>Vertraulichkeit</w:t>
      </w:r>
    </w:p>
    <w:p>
      <w:r>
        <w:t>Das Protokoll ist vertraulich. Verteiler beschraenkt auf Vorstand Brennhagen, Aufsichtsrats-Vorsitz, Goldman Sachs, Roland Berger. Speicherort: Concord Deal Room »NEXT-T-005«.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