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#001</w:t>
      </w:r>
    </w:p>
    <w:p>
      <w:pPr>
        <w:jc w:val="center"/>
      </w:pPr>
      <w:r>
        <w:t>Strategischer Prozess 2023/2024 | Target-Code T-001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T-001 (»BMS-Soft GmbH«, Aachen). Strategisches Thema: Embedded BMS-Software, Modell-basierte Entwicklung (Matlab/Simulink). Deal-Rationale: Vertikale Integration BMS-12 Software-Stack; Reduktion externer Lizenzen. Datum: 14. November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