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M&amp;A Pipeline – Synergieberechnung #011</w:t>
      </w:r>
    </w:p>
    <w:p>
      <w:pPr>
        <w:jc w:val="center"/>
      </w:pPr>
      <w:r>
        <w:t>Strategischer Prozess 2023/2024 | Target-Code T-004 | Bearbeitung: Stefan Richter (Vorstand BD/M&amp;A) | Status: finalisiert</w:t>
      </w:r>
    </w:p>
    <w:p/>
    <w:p>
      <w:pPr>
        <w:pStyle w:val="Heading3"/>
      </w:pPr>
      <w:r>
        <w:t>Dokument</w:t>
      </w:r>
    </w:p>
    <w:p>
      <w:r>
        <w:t>Vertrauliches M&amp;A-Dokument im Rahmen des strategischen Prozesses 2023/2024 der Brennhagen Elektronik AG. Pipeline-Target: T-004 (»DriveTech Innovations s.r.o.«, Prag (CZ)). Strategisches Thema: AUTOSAR Adaptive Toolchain; Software-Defined-Vehicle. Deal-Rationale: Beschleunigung Software-Stack Adaptive AUTOSAR. Datum: 30. Januar 2024. Bearbeitung: Stefan Richter (Vorstand BD/M&amp;A, seit 1.4.2023). Externe Berater: Goldman Sachs Frankfurt (Dr. Klaus Bessler), Roland Berger (Dr. Stefan Vogel), KPMG Deal Advisory, Hengeler Mueller, PwC.</w:t>
      </w:r>
    </w:p>
    <w:p>
      <w:pPr>
        <w:pStyle w:val="Heading3"/>
      </w:pPr>
      <w:r>
        <w:t>Synergie-Hebel (Run-Rate post-Closing)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Synergie-Hebel</w:t>
            </w:r>
          </w:p>
        </w:tc>
        <w:tc>
          <w:tcPr>
            <w:tcW w:type="dxa" w:w="2160"/>
          </w:tcPr>
          <w:p>
            <w:r>
              <w:t>Run-Rate (EUR Mio./Jahr)</w:t>
            </w:r>
          </w:p>
        </w:tc>
        <w:tc>
          <w:tcPr>
            <w:tcW w:type="dxa" w:w="2160"/>
          </w:tcPr>
          <w:p>
            <w:r>
              <w:t>Realisierung bis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Cross-Sell ICP-3 / BMS-12 / ADAS-V4D in Target-Kundenbasis</w:t>
            </w:r>
          </w:p>
        </w:tc>
        <w:tc>
          <w:tcPr>
            <w:tcW w:type="dxa" w:w="2160"/>
          </w:tcPr>
          <w:p>
            <w:r>
              <w:t>1,4</w:t>
            </w:r>
          </w:p>
        </w:tc>
        <w:tc>
          <w:tcPr>
            <w:tcW w:type="dxa" w:w="2160"/>
          </w:tcPr>
          <w:p>
            <w:r>
              <w:t>M18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Einkauf: Bundling Halbleiter / Passive bei Konzern-Lieferanten</w:t>
            </w:r>
          </w:p>
        </w:tc>
        <w:tc>
          <w:tcPr>
            <w:tcW w:type="dxa" w:w="2160"/>
          </w:tcPr>
          <w:p>
            <w:r>
              <w:t>0,6</w:t>
            </w:r>
          </w:p>
        </w:tc>
        <w:tc>
          <w:tcPr>
            <w:tcW w:type="dxa" w:w="2160"/>
          </w:tcPr>
          <w:p>
            <w:r>
              <w:t>M9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Vertikale Integration: Reduktion externer Software-Lizenzen</w:t>
            </w:r>
          </w:p>
        </w:tc>
        <w:tc>
          <w:tcPr>
            <w:tcW w:type="dxa" w:w="2160"/>
          </w:tcPr>
          <w:p>
            <w:r>
              <w:t>0,4</w:t>
            </w:r>
          </w:p>
        </w:tc>
        <w:tc>
          <w:tcPr>
            <w:tcW w:type="dxa" w:w="2160"/>
          </w:tcPr>
          <w:p>
            <w:r>
              <w:t>M12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Overhead: Konzern-Shared-Services (Finance, HR, IT, Legal)</w:t>
            </w:r>
          </w:p>
        </w:tc>
        <w:tc>
          <w:tcPr>
            <w:tcW w:type="dxa" w:w="2160"/>
          </w:tcPr>
          <w:p>
            <w:r>
              <w:t>0,5</w:t>
            </w:r>
          </w:p>
        </w:tc>
        <w:tc>
          <w:tcPr>
            <w:tcW w:type="dxa" w:w="2160"/>
          </w:tcPr>
          <w:p>
            <w:r>
              <w:t>M12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F&amp;E: Gemeinsame Plattform-Entwicklung / Asset-Sharing</w:t>
            </w:r>
          </w:p>
        </w:tc>
        <w:tc>
          <w:tcPr>
            <w:tcW w:type="dxa" w:w="2160"/>
          </w:tcPr>
          <w:p>
            <w:r>
              <w:t>0,3</w:t>
            </w:r>
          </w:p>
        </w:tc>
        <w:tc>
          <w:tcPr>
            <w:tcW w:type="dxa" w:w="2160"/>
          </w:tcPr>
          <w:p>
            <w:r>
              <w:t>M18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Steuern: Optimierung Transferpreise / Holding-Struktur</w:t>
            </w:r>
          </w:p>
        </w:tc>
        <w:tc>
          <w:tcPr>
            <w:tcW w:type="dxa" w:w="2160"/>
          </w:tcPr>
          <w:p>
            <w:r>
              <w:t>0,2</w:t>
            </w:r>
          </w:p>
        </w:tc>
        <w:tc>
          <w:tcPr>
            <w:tcW w:type="dxa" w:w="2160"/>
          </w:tcPr>
          <w:p>
            <w:r>
              <w:t>M12</w:t>
            </w:r>
          </w:p>
        </w:tc>
      </w:tr>
      <w:tr>
        <w:tc>
          <w:tcPr>
            <w:tcW w:type="dxa" w:w="2160"/>
          </w:tcPr>
          <w:p>
            <w:r>
              <w:t>SUMME Run-Rate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3,4</w:t>
            </w:r>
          </w:p>
        </w:tc>
        <w:tc>
          <w:tcPr>
            <w:tcW w:type="dxa" w:w="2160"/>
          </w:tcPr>
          <w:p>
            <w:r>
              <w:t>M18</w:t>
            </w:r>
          </w:p>
        </w:tc>
      </w:tr>
    </w:tbl>
    <w:p>
      <w:pPr>
        <w:pStyle w:val="Heading3"/>
      </w:pPr>
      <w:r>
        <w:t>Realisierungskurve (Quartalsweise nach Closing)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Quartal post-Closing</w:t>
            </w:r>
          </w:p>
        </w:tc>
        <w:tc>
          <w:tcPr>
            <w:tcW w:type="dxa" w:w="1234"/>
          </w:tcPr>
          <w:p>
            <w:r>
              <w:t>Q1</w:t>
            </w:r>
          </w:p>
        </w:tc>
        <w:tc>
          <w:tcPr>
            <w:tcW w:type="dxa" w:w="1234"/>
          </w:tcPr>
          <w:p>
            <w:r>
              <w:t>Q2</w:t>
            </w:r>
          </w:p>
        </w:tc>
        <w:tc>
          <w:tcPr>
            <w:tcW w:type="dxa" w:w="1234"/>
          </w:tcPr>
          <w:p>
            <w:r>
              <w:t>Q3</w:t>
            </w:r>
          </w:p>
        </w:tc>
        <w:tc>
          <w:tcPr>
            <w:tcW w:type="dxa" w:w="1234"/>
          </w:tcPr>
          <w:p>
            <w:r>
              <w:t>Q4</w:t>
            </w:r>
          </w:p>
        </w:tc>
        <w:tc>
          <w:tcPr>
            <w:tcW w:type="dxa" w:w="1234"/>
          </w:tcPr>
          <w:p>
            <w:r>
              <w:t>Q5</w:t>
            </w:r>
          </w:p>
        </w:tc>
        <w:tc>
          <w:tcPr>
            <w:tcW w:type="dxa" w:w="1234"/>
          </w:tcPr>
          <w:p>
            <w:r>
              <w:t>Q6</w:t>
            </w:r>
          </w:p>
        </w:tc>
      </w:tr>
      <w:tr>
        <w:tc>
          <w:tcPr>
            <w:tcW w:type="dxa" w:w="1234"/>
          </w:tcPr>
          <w:p>
            <w:r>
              <w:t>% Run-Rate erreicht</w:t>
            </w:r>
          </w:p>
        </w:tc>
        <w:tc>
          <w:tcPr>
            <w:tcW w:type="dxa" w:w="1234"/>
          </w:tcPr>
          <w:p>
            <w:r>
              <w:t>10 %</w:t>
            </w:r>
          </w:p>
        </w:tc>
        <w:tc>
          <w:tcPr>
            <w:tcW w:type="dxa" w:w="1234"/>
          </w:tcPr>
          <w:p>
            <w:r>
              <w:t>25 %</w:t>
            </w:r>
          </w:p>
        </w:tc>
        <w:tc>
          <w:tcPr>
            <w:tcW w:type="dxa" w:w="1234"/>
          </w:tcPr>
          <w:p>
            <w:r>
              <w:t>40 %</w:t>
            </w:r>
          </w:p>
        </w:tc>
        <w:tc>
          <w:tcPr>
            <w:tcW w:type="dxa" w:w="1234"/>
          </w:tcPr>
          <w:p>
            <w:r>
              <w:t>55 %</w:t>
            </w:r>
          </w:p>
        </w:tc>
        <w:tc>
          <w:tcPr>
            <w:tcW w:type="dxa" w:w="1234"/>
          </w:tcPr>
          <w:p>
            <w:r>
              <w:t>75 %</w:t>
            </w:r>
          </w:p>
        </w:tc>
        <w:tc>
          <w:tcPr>
            <w:tcW w:type="dxa" w:w="1234"/>
          </w:tcPr>
          <w:p>
            <w:r>
              <w:t>100 %</w:t>
            </w:r>
          </w:p>
        </w:tc>
      </w:tr>
      <w:tr>
        <w:tc>
          <w:tcPr>
            <w:tcW w:type="dxa" w:w="1234"/>
          </w:tcPr>
          <w:p>
            <w:r>
              <w:t>EBITDA-Effekt (EUR Mio.)</w:t>
            </w:r>
          </w:p>
        </w:tc>
        <w:tc>
          <w:tcPr>
            <w:tcW w:type="dxa" w:w="1234"/>
          </w:tcPr>
          <w:p>
            <w:r>
              <w:t>0,3</w:t>
            </w:r>
          </w:p>
        </w:tc>
        <w:tc>
          <w:tcPr>
            <w:tcW w:type="dxa" w:w="1234"/>
          </w:tcPr>
          <w:p>
            <w:r>
              <w:t>0,9</w:t>
            </w:r>
          </w:p>
        </w:tc>
        <w:tc>
          <w:tcPr>
            <w:tcW w:type="dxa" w:w="1234"/>
          </w:tcPr>
          <w:p>
            <w:r>
              <w:t>1,4</w:t>
            </w:r>
          </w:p>
        </w:tc>
        <w:tc>
          <w:tcPr>
            <w:tcW w:type="dxa" w:w="1234"/>
          </w:tcPr>
          <w:p>
            <w:r>
              <w:t>1,9</w:t>
            </w:r>
          </w:p>
        </w:tc>
        <w:tc>
          <w:tcPr>
            <w:tcW w:type="dxa" w:w="1234"/>
          </w:tcPr>
          <w:p>
            <w:r>
              <w:t>2,6</w:t>
            </w:r>
          </w:p>
        </w:tc>
        <w:tc>
          <w:tcPr>
            <w:tcW w:type="dxa" w:w="1234"/>
          </w:tcPr>
          <w:p>
            <w:r>
              <w:t>3,4</w:t>
            </w:r>
          </w:p>
        </w:tc>
      </w:tr>
    </w:tbl>
    <w:p>
      <w:pPr>
        <w:pStyle w:val="Heading3"/>
      </w:pPr>
      <w:r>
        <w:t>Integrationskosten (One-Off)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 (EUR Mio.)</w:t>
            </w:r>
          </w:p>
        </w:tc>
      </w:tr>
      <w:tr>
        <w:tc>
          <w:tcPr>
            <w:tcW w:type="dxa" w:w="4320"/>
          </w:tcPr>
          <w:p>
            <w:r>
              <w:t>IT-Migration / SAP-S/4HANA-Anbindung</w:t>
            </w:r>
          </w:p>
        </w:tc>
        <w:tc>
          <w:tcPr>
            <w:tcW w:type="dxa" w:w="4320"/>
          </w:tcPr>
          <w:p>
            <w:r>
              <w:t>1,4</w:t>
            </w:r>
          </w:p>
        </w:tc>
      </w:tr>
      <w:tr>
        <w:tc>
          <w:tcPr>
            <w:tcW w:type="dxa" w:w="4320"/>
          </w:tcPr>
          <w:p>
            <w:r>
              <w:t>PMI-Beratungskosten (Roland Berger)</w:t>
            </w:r>
          </w:p>
        </w:tc>
        <w:tc>
          <w:tcPr>
            <w:tcW w:type="dxa" w:w="4320"/>
          </w:tcPr>
          <w:p>
            <w:r>
              <w:t>0,9</w:t>
            </w:r>
          </w:p>
        </w:tc>
      </w:tr>
      <w:tr>
        <w:tc>
          <w:tcPr>
            <w:tcW w:type="dxa" w:w="4320"/>
          </w:tcPr>
          <w:p>
            <w:r>
              <w:t>Restrukturierung (Sozialplan, Abfindungen, Outplacement)</w:t>
            </w:r>
          </w:p>
        </w:tc>
        <w:tc>
          <w:tcPr>
            <w:tcW w:type="dxa" w:w="4320"/>
          </w:tcPr>
          <w:p>
            <w:r>
              <w:t>0,7</w:t>
            </w:r>
          </w:p>
        </w:tc>
      </w:tr>
      <w:tr>
        <w:tc>
          <w:tcPr>
            <w:tcW w:type="dxa" w:w="4320"/>
          </w:tcPr>
          <w:p>
            <w:r>
              <w:t>Rebranding / Marketing-Transition</w:t>
            </w:r>
          </w:p>
        </w:tc>
        <w:tc>
          <w:tcPr>
            <w:tcW w:type="dxa" w:w="4320"/>
          </w:tcPr>
          <w:p>
            <w:r>
              <w:t>0,2</w:t>
            </w:r>
          </w:p>
        </w:tc>
      </w:tr>
      <w:tr>
        <w:tc>
          <w:tcPr>
            <w:tcW w:type="dxa" w:w="4320"/>
          </w:tcPr>
          <w:p>
            <w:r>
              <w:t>Sonstige (Compliance-Audits, IATF-Migration)</w:t>
            </w:r>
          </w:p>
        </w:tc>
        <w:tc>
          <w:tcPr>
            <w:tcW w:type="dxa" w:w="4320"/>
          </w:tcPr>
          <w:p>
            <w:r>
              <w:t>0,4</w:t>
            </w:r>
          </w:p>
        </w:tc>
      </w:tr>
      <w:tr>
        <w:tc>
          <w:tcPr>
            <w:tcW w:type="dxa" w:w="4320"/>
          </w:tcPr>
          <w:p>
            <w:r>
              <w:t>SUMME</w:t>
            </w:r>
          </w:p>
        </w:tc>
        <w:tc>
          <w:tcPr>
            <w:tcW w:type="dxa" w:w="4320"/>
          </w:tcPr>
          <w:p>
            <w:r>
              <w:t>3,6</w:t>
            </w:r>
          </w:p>
        </w:tc>
      </w:tr>
    </w:tbl>
    <w:p>
      <w:pPr>
        <w:pStyle w:val="Heading3"/>
      </w:pPr>
      <w:r>
        <w:t>Netto-Synergie-Effekt (NPV ueber 5 Jahre)</w:t>
      </w:r>
    </w:p>
    <w:p>
      <w:r>
        <w:t>Netto-Synergie-Wert (NPV, WACC 9,4 %): EUR 11,8 Mio. ueber 5 Jahre. Dieser Wert wird in der finalen Bewertungs-Bridge auf den Strategic-Value addiert; aus Verhandlungsperspektive verbleibt der ueberwiegende Anteil (&gt;70 %) jedoch beim Erwerber (Brennhagen).</w:t>
      </w:r>
    </w:p>
    <w:p>
      <w:pPr>
        <w:pStyle w:val="Heading3"/>
      </w:pPr>
      <w:r>
        <w:t>Risiken Synergie-Realisierung</w:t>
      </w:r>
    </w:p>
    <w:p>
      <w:r>
        <w:t>Hauptrisiken: (a) Cross-Sell-Hebel abhaengig von Kunden-Konsentfaehigkeit (Change-of-Control); (b) F&amp;E-Synergien benoetigen 18 Monate Plattform-Harmonisierung; (c) Overhead-Reduktion abhaengig von Sozialplan-Verhandlung mit Konzernbetriebsrat (Marlies Duerr); (d) Steuer-Optimierung abhaengig von BEPS-2.0-Pillar-2-Regelung.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