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Synergieberechnung #021</w:t>
      </w:r>
    </w:p>
    <w:p>
      <w:pPr>
        <w:jc w:val="center"/>
      </w:pPr>
      <w:r>
        <w:t>Strategischer Prozess 2023/2024 | Target-Code T-001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T-001 (»BMS-Soft GmbH«, Aachen). Strategisches Thema: Embedded BMS-Software, Modell-basierte Entwicklung (Matlab/Simulink). Deal-Rationale: Vertikale Integration BMS-12 Software-Stack; Reduktion externer Lizenzen. Datum: 22. Maerz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Synergie-Hebel (Run-Rate post-Closing)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Synergie-Hebel</w:t>
            </w:r>
          </w:p>
        </w:tc>
        <w:tc>
          <w:tcPr>
            <w:tcW w:type="dxa" w:w="2160"/>
          </w:tcPr>
          <w:p>
            <w:r>
              <w:t>Run-Rate (EUR Mio./Jahr)</w:t>
            </w:r>
          </w:p>
        </w:tc>
        <w:tc>
          <w:tcPr>
            <w:tcW w:type="dxa" w:w="2160"/>
          </w:tcPr>
          <w:p>
            <w:r>
              <w:t>Realisierung bis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Cross-Sell ICP-3 / BMS-12 / ADAS-V4D in Target-Kundenbasis</w:t>
            </w:r>
          </w:p>
        </w:tc>
        <w:tc>
          <w:tcPr>
            <w:tcW w:type="dxa" w:w="2160"/>
          </w:tcPr>
          <w:p>
            <w:r>
              <w:t>1,4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Einkauf: Bundling Halbleiter / Passive bei Konzern-Lieferanten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Vertikale Integration: Reduktion externer Software-Lizenzen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Overhead: Konzern-Shared-Services (Finance, HR, IT, Legal)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F&amp;E: Gemeinsame Plattform-Entwicklung / Asset-Sharing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Steuern: Optimierung Transferpreise / Holding-Struktur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SUMME Run-Rate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</w:tbl>
    <w:p>
      <w:pPr>
        <w:pStyle w:val="Heading3"/>
      </w:pPr>
      <w:r>
        <w:t>Realisierungskurve (Quartalsweise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Quartal post-Closing</w:t>
            </w:r>
          </w:p>
        </w:tc>
        <w:tc>
          <w:tcPr>
            <w:tcW w:type="dxa" w:w="1234"/>
          </w:tcPr>
          <w:p>
            <w:r>
              <w:t>Q1</w:t>
            </w:r>
          </w:p>
        </w:tc>
        <w:tc>
          <w:tcPr>
            <w:tcW w:type="dxa" w:w="1234"/>
          </w:tcPr>
          <w:p>
            <w:r>
              <w:t>Q2</w:t>
            </w:r>
          </w:p>
        </w:tc>
        <w:tc>
          <w:tcPr>
            <w:tcW w:type="dxa" w:w="1234"/>
          </w:tcPr>
          <w:p>
            <w:r>
              <w:t>Q3</w:t>
            </w:r>
          </w:p>
        </w:tc>
        <w:tc>
          <w:tcPr>
            <w:tcW w:type="dxa" w:w="1234"/>
          </w:tcPr>
          <w:p>
            <w:r>
              <w:t>Q4</w:t>
            </w:r>
          </w:p>
        </w:tc>
        <w:tc>
          <w:tcPr>
            <w:tcW w:type="dxa" w:w="1234"/>
          </w:tcPr>
          <w:p>
            <w:r>
              <w:t>Q5</w:t>
            </w:r>
          </w:p>
        </w:tc>
        <w:tc>
          <w:tcPr>
            <w:tcW w:type="dxa" w:w="1234"/>
          </w:tcPr>
          <w:p>
            <w:r>
              <w:t>Q6</w:t>
            </w:r>
          </w:p>
        </w:tc>
      </w:tr>
      <w:tr>
        <w:tc>
          <w:tcPr>
            <w:tcW w:type="dxa" w:w="1234"/>
          </w:tcPr>
          <w:p>
            <w:r>
              <w:t>% Run-Rate erreicht</w:t>
            </w:r>
          </w:p>
        </w:tc>
        <w:tc>
          <w:tcPr>
            <w:tcW w:type="dxa" w:w="1234"/>
          </w:tcPr>
          <w:p>
            <w:r>
              <w:t>10 %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40 %</w:t>
            </w:r>
          </w:p>
        </w:tc>
        <w:tc>
          <w:tcPr>
            <w:tcW w:type="dxa" w:w="1234"/>
          </w:tcPr>
          <w:p>
            <w:r>
              <w:t>55 %</w:t>
            </w:r>
          </w:p>
        </w:tc>
        <w:tc>
          <w:tcPr>
            <w:tcW w:type="dxa" w:w="1234"/>
          </w:tcPr>
          <w:p>
            <w:r>
              <w:t>75 %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</w:tr>
      <w:tr>
        <w:tc>
          <w:tcPr>
            <w:tcW w:type="dxa" w:w="1234"/>
          </w:tcPr>
          <w:p>
            <w:r>
              <w:t>EBITDA-Effekt (EUR Mio.)</w:t>
            </w:r>
          </w:p>
        </w:tc>
        <w:tc>
          <w:tcPr>
            <w:tcW w:type="dxa" w:w="1234"/>
          </w:tcPr>
          <w:p>
            <w:r>
              <w:t>0,3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1,4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3,4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/ SAP-S/4HANA-Anbindung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PMI-Beratungskosten (Roland Berger)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Restrukturierung (Sozialplan, Abfindungen, Outplacement)</w:t>
            </w:r>
          </w:p>
        </w:tc>
        <w:tc>
          <w:tcPr>
            <w:tcW w:type="dxa" w:w="4320"/>
          </w:tcPr>
          <w:p>
            <w:r>
              <w:t>0,7</w:t>
            </w:r>
          </w:p>
        </w:tc>
      </w:tr>
      <w:tr>
        <w:tc>
          <w:tcPr>
            <w:tcW w:type="dxa" w:w="4320"/>
          </w:tcPr>
          <w:p>
            <w:r>
              <w:t>Rebranding / Marketing-Transition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Sonstige (Compliance-Audits, IATF-Migration)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3,6</w:t>
            </w:r>
          </w:p>
        </w:tc>
      </w:tr>
    </w:tbl>
    <w:p>
      <w:pPr>
        <w:pStyle w:val="Heading3"/>
      </w:pPr>
      <w:r>
        <w:t>Netto-Synergie-Effekt (NPV ueber 5 Jahre)</w:t>
      </w:r>
    </w:p>
    <w:p>
      <w:r>
        <w:t>Netto-Synergie-Wert (NPV, WACC 9,4 %): EUR 11,8 Mio. ueber 5 Jahre. Dieser Wert wird in der finalen Bewertungs-Bridge auf den Strategic-Value addiert; aus Verhandlungsperspektive verbleibt der ueberwiegende Anteil (&gt;70 %) jedoch beim Erwerber (Brennhagen).</w:t>
      </w:r>
    </w:p>
    <w:p>
      <w:pPr>
        <w:pStyle w:val="Heading3"/>
      </w:pPr>
      <w:r>
        <w:t>Risiken Synergie-Realisierung</w:t>
      </w:r>
    </w:p>
    <w:p>
      <w:r>
        <w:t>Hauptrisiken: (a) Cross-Sell-Hebel abhaengig von Kunden-Konsentfaehigkeit (Change-of-Control); (b) F&amp;E-Synergien benoetigen 18 Monate Plattform-Harmonisierung; (c) Overhead-Reduktion abhaengig von Sozialplan-Verhandlung mit Konzernbetriebsrat (Marlies Duerr); (d) Steuer-Optimierung abhaengig von BEPS-2.0-Pillar-2-Regelung.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