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r>
        <w:rPr>
          <w:b/>
          <w:color w:val="CC0000"/>
        </w:rPr>
        <w:t>*** ENTWURF / DRAFT – NICHT ZUR WEITERGABE ***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M&amp;A Pipeline – Target Screening #009</w:t>
      </w:r>
    </w:p>
    <w:p>
      <w:pPr>
        <w:jc w:val="center"/>
      </w:pPr>
      <w:r>
        <w:t>Strategischer Prozess 2023/2024 | Target-Code T-005 | Bearbeitung: Stefan Richter (Vorstand BD/M&amp;A) | Status: Work in Progress (WIP)</w:t>
      </w:r>
    </w:p>
    <w:p/>
    <w:p>
      <w:pPr>
        <w:pStyle w:val="Heading3"/>
      </w:pPr>
      <w:r>
        <w:t>Dokument</w:t>
      </w:r>
    </w:p>
    <w:p>
      <w:r>
        <w:t>Vertrauliches M&amp;A-Dokument im Rahmen des strategischen Prozesses 2023/2024 der Brennhagen Elektronik AG. Pipeline-Target: T-005 (»EnergiSoft B.V.«, Eindhoven (NL)). Strategisches Thema: Energy-Management-SaaS / Cloud-basierte Fleet-Analytics. Deal-Rationale: Aufbau dritte Saeule »Energie-SaaS« gemaess Strategie NEXT. Datum: 20. Dezember 2023. Bearbeitung: Stefan Richter (Vorstand BD/M&amp;A, seit 1.4.2023). Externe Berater: Goldman Sachs Frankfurt (Dr. Klaus Bessler), Roland Berger (Dr. Stefan Vogel), KPMG Deal Advisory, Hengeler Mueller, PwC.</w:t>
      </w:r>
    </w:p>
    <w:p>
      <w:pPr>
        <w:pStyle w:val="Heading3"/>
      </w:pPr>
      <w:r>
        <w:t>Screening-Methodik</w:t>
      </w:r>
    </w:p>
    <w:p>
      <w:r>
        <w:t>Im Rahmen des strategischen Prozesses 2023/2024 wurden 47 potenzielle Targets gescreent (Quellen: Roland-Berger-Marktstudie, Mergermarket, Capital IQ, Eigen-Netzwerk Goldman Sachs, Empfehlungen Hengeler Mueller). Methodik: 3-stufiges Screening mit Kriterien (a) Strategische Passung, (b) Bewertungs-/Finanzierbarkeit, (c) Realisierbarkeit (Verkaeufer-Bereitschaft, Kartell, Konsente).</w:t>
      </w:r>
    </w:p>
    <w:p>
      <w:pPr>
        <w:pStyle w:val="Heading3"/>
      </w:pPr>
      <w:r>
        <w:t>Bewertungs-Matrix Top-5-Targets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Code</w:t>
            </w:r>
          </w:p>
        </w:tc>
        <w:tc>
          <w:tcPr>
            <w:tcW w:type="dxa" w:w="1234"/>
          </w:tcPr>
          <w:p>
            <w:r>
              <w:t>Target</w:t>
            </w:r>
          </w:p>
        </w:tc>
        <w:tc>
          <w:tcPr>
            <w:tcW w:type="dxa" w:w="1234"/>
          </w:tcPr>
          <w:p>
            <w:r>
              <w:t>Sitz</w:t>
            </w:r>
          </w:p>
        </w:tc>
        <w:tc>
          <w:tcPr>
            <w:tcW w:type="dxa" w:w="1234"/>
          </w:tcPr>
          <w:p>
            <w:r>
              <w:t>Strategie-Fit</w:t>
            </w:r>
          </w:p>
        </w:tc>
        <w:tc>
          <w:tcPr>
            <w:tcW w:type="dxa" w:w="1234"/>
          </w:tcPr>
          <w:p>
            <w:r>
              <w:t>Bewertung-Fit</w:t>
            </w:r>
          </w:p>
        </w:tc>
        <w:tc>
          <w:tcPr>
            <w:tcW w:type="dxa" w:w="1234"/>
          </w:tcPr>
          <w:p>
            <w:r>
              <w:t>Realisierbarkeit</w:t>
            </w:r>
          </w:p>
        </w:tc>
        <w:tc>
          <w:tcPr>
            <w:tcW w:type="dxa" w:w="1234"/>
          </w:tcPr>
          <w:p>
            <w:r>
              <w:t>Score (max. 15)</w:t>
            </w:r>
          </w:p>
        </w:tc>
      </w:tr>
      <w:tr>
        <w:tc>
          <w:tcPr>
            <w:tcW w:type="dxa" w:w="1234"/>
          </w:tcPr>
          <w:p>
            <w:r>
              <w:t>T-001</w:t>
            </w:r>
          </w:p>
        </w:tc>
        <w:tc>
          <w:tcPr>
            <w:tcW w:type="dxa" w:w="1234"/>
          </w:tcPr>
          <w:p>
            <w:r>
              <w:t>BMS-Soft GmbH</w:t>
            </w:r>
          </w:p>
        </w:tc>
        <w:tc>
          <w:tcPr>
            <w:tcW w:type="dxa" w:w="1234"/>
          </w:tcPr>
          <w:p>
            <w:r>
              <w:t>Aachen</w:t>
            </w:r>
          </w:p>
        </w:tc>
        <w:tc>
          <w:tcPr>
            <w:tcW w:type="dxa" w:w="1234"/>
          </w:tcPr>
          <w:p>
            <w:r>
              <w:t>5/5</w:t>
            </w:r>
          </w:p>
        </w:tc>
        <w:tc>
          <w:tcPr>
            <w:tcW w:type="dxa" w:w="1234"/>
          </w:tcPr>
          <w:p>
            <w:r>
              <w:t>4/5</w:t>
            </w:r>
          </w:p>
        </w:tc>
        <w:tc>
          <w:tcPr>
            <w:tcW w:type="dxa" w:w="1234"/>
          </w:tcPr>
          <w:p>
            <w:r>
              <w:t>4/5</w:t>
            </w:r>
          </w:p>
        </w:tc>
        <w:tc>
          <w:tcPr>
            <w:tcW w:type="dxa" w:w="1234"/>
          </w:tcPr>
          <w:p>
            <w:r>
              <w:t>13</w:t>
            </w:r>
          </w:p>
        </w:tc>
      </w:tr>
      <w:tr>
        <w:tc>
          <w:tcPr>
            <w:tcW w:type="dxa" w:w="1234"/>
          </w:tcPr>
          <w:p>
            <w:r>
              <w:t>T-002</w:t>
            </w:r>
          </w:p>
        </w:tc>
        <w:tc>
          <w:tcPr>
            <w:tcW w:type="dxa" w:w="1234"/>
          </w:tcPr>
          <w:p>
            <w:r>
              <w:t>SensoFusion GmbH</w:t>
            </w:r>
          </w:p>
        </w:tc>
        <w:tc>
          <w:tcPr>
            <w:tcW w:type="dxa" w:w="1234"/>
          </w:tcPr>
          <w:p>
            <w:r>
              <w:t>Karlsruhe</w:t>
            </w:r>
          </w:p>
        </w:tc>
        <w:tc>
          <w:tcPr>
            <w:tcW w:type="dxa" w:w="1234"/>
          </w:tcPr>
          <w:p>
            <w:r>
              <w:t>5/5</w:t>
            </w:r>
          </w:p>
        </w:tc>
        <w:tc>
          <w:tcPr>
            <w:tcW w:type="dxa" w:w="1234"/>
          </w:tcPr>
          <w:p>
            <w:r>
              <w:t>3/5</w:t>
            </w:r>
          </w:p>
        </w:tc>
        <w:tc>
          <w:tcPr>
            <w:tcW w:type="dxa" w:w="1234"/>
          </w:tcPr>
          <w:p>
            <w:r>
              <w:t>4/5</w:t>
            </w:r>
          </w:p>
        </w:tc>
        <w:tc>
          <w:tcPr>
            <w:tcW w:type="dxa" w:w="1234"/>
          </w:tcPr>
          <w:p>
            <w:r>
              <w:t>12</w:t>
            </w:r>
          </w:p>
        </w:tc>
      </w:tr>
      <w:tr>
        <w:tc>
          <w:tcPr>
            <w:tcW w:type="dxa" w:w="1234"/>
          </w:tcPr>
          <w:p>
            <w:r>
              <w:t>T-003</w:t>
            </w:r>
          </w:p>
        </w:tc>
        <w:tc>
          <w:tcPr>
            <w:tcW w:type="dxa" w:w="1234"/>
          </w:tcPr>
          <w:p>
            <w:r>
              <w:t>PowerSemi AG</w:t>
            </w:r>
          </w:p>
        </w:tc>
        <w:tc>
          <w:tcPr>
            <w:tcW w:type="dxa" w:w="1234"/>
          </w:tcPr>
          <w:p>
            <w:r>
              <w:t>Erlangen</w:t>
            </w:r>
          </w:p>
        </w:tc>
        <w:tc>
          <w:tcPr>
            <w:tcW w:type="dxa" w:w="1234"/>
          </w:tcPr>
          <w:p>
            <w:r>
              <w:t>4/5</w:t>
            </w:r>
          </w:p>
        </w:tc>
        <w:tc>
          <w:tcPr>
            <w:tcW w:type="dxa" w:w="1234"/>
          </w:tcPr>
          <w:p>
            <w:r>
              <w:t>2/5</w:t>
            </w:r>
          </w:p>
        </w:tc>
        <w:tc>
          <w:tcPr>
            <w:tcW w:type="dxa" w:w="1234"/>
          </w:tcPr>
          <w:p>
            <w:r>
              <w:t>3/5</w:t>
            </w:r>
          </w:p>
        </w:tc>
        <w:tc>
          <w:tcPr>
            <w:tcW w:type="dxa" w:w="1234"/>
          </w:tcPr>
          <w:p>
            <w:r>
              <w:t>9</w:t>
            </w:r>
          </w:p>
        </w:tc>
      </w:tr>
      <w:tr>
        <w:tc>
          <w:tcPr>
            <w:tcW w:type="dxa" w:w="1234"/>
          </w:tcPr>
          <w:p>
            <w:r>
              <w:t>T-004</w:t>
            </w:r>
          </w:p>
        </w:tc>
        <w:tc>
          <w:tcPr>
            <w:tcW w:type="dxa" w:w="1234"/>
          </w:tcPr>
          <w:p>
            <w:r>
              <w:t>DriveTech Innovations s.r.o.</w:t>
            </w:r>
          </w:p>
        </w:tc>
        <w:tc>
          <w:tcPr>
            <w:tcW w:type="dxa" w:w="1234"/>
          </w:tcPr>
          <w:p>
            <w:r>
              <w:t>Prag</w:t>
            </w:r>
          </w:p>
        </w:tc>
        <w:tc>
          <w:tcPr>
            <w:tcW w:type="dxa" w:w="1234"/>
          </w:tcPr>
          <w:p>
            <w:r>
              <w:t>4/5</w:t>
            </w:r>
          </w:p>
        </w:tc>
        <w:tc>
          <w:tcPr>
            <w:tcW w:type="dxa" w:w="1234"/>
          </w:tcPr>
          <w:p>
            <w:r>
              <w:t>4/5</w:t>
            </w:r>
          </w:p>
        </w:tc>
        <w:tc>
          <w:tcPr>
            <w:tcW w:type="dxa" w:w="1234"/>
          </w:tcPr>
          <w:p>
            <w:r>
              <w:t>5/5</w:t>
            </w:r>
          </w:p>
        </w:tc>
        <w:tc>
          <w:tcPr>
            <w:tcW w:type="dxa" w:w="1234"/>
          </w:tcPr>
          <w:p>
            <w:r>
              <w:t>13</w:t>
            </w:r>
          </w:p>
        </w:tc>
      </w:tr>
      <w:tr>
        <w:tc>
          <w:tcPr>
            <w:tcW w:type="dxa" w:w="1234"/>
          </w:tcPr>
          <w:p>
            <w:r>
              <w:t>T-005</w:t>
            </w:r>
          </w:p>
        </w:tc>
        <w:tc>
          <w:tcPr>
            <w:tcW w:type="dxa" w:w="1234"/>
          </w:tcPr>
          <w:p>
            <w:r>
              <w:t>EnergiSoft B.V.</w:t>
            </w:r>
          </w:p>
        </w:tc>
        <w:tc>
          <w:tcPr>
            <w:tcW w:type="dxa" w:w="1234"/>
          </w:tcPr>
          <w:p>
            <w:r>
              <w:t>Eindhoven</w:t>
            </w:r>
          </w:p>
        </w:tc>
        <w:tc>
          <w:tcPr>
            <w:tcW w:type="dxa" w:w="1234"/>
          </w:tcPr>
          <w:p>
            <w:r>
              <w:t>5/5</w:t>
            </w:r>
          </w:p>
        </w:tc>
        <w:tc>
          <w:tcPr>
            <w:tcW w:type="dxa" w:w="1234"/>
          </w:tcPr>
          <w:p>
            <w:r>
              <w:t>3/5</w:t>
            </w:r>
          </w:p>
        </w:tc>
        <w:tc>
          <w:tcPr>
            <w:tcW w:type="dxa" w:w="1234"/>
          </w:tcPr>
          <w:p>
            <w:r>
              <w:t>4/5</w:t>
            </w:r>
          </w:p>
        </w:tc>
        <w:tc>
          <w:tcPr>
            <w:tcW w:type="dxa" w:w="1234"/>
          </w:tcPr>
          <w:p>
            <w:r>
              <w:t>12</w:t>
            </w:r>
          </w:p>
        </w:tc>
      </w:tr>
    </w:tbl>
    <w:p>
      <w:pPr>
        <w:pStyle w:val="Heading3"/>
      </w:pPr>
      <w:r>
        <w:t>Empfehlung</w:t>
      </w:r>
    </w:p>
    <w:p>
      <w:r>
        <w:t>Priorisierung der Targets in der Reihenfolge: (1) T-001 BMS-Soft GmbH und T-004 DriveTech (je 13 Punkte); (2) T-002 SensoFusion und T-005 EnergiSoft (je 12 Punkte); (3) T-003 PowerSemi (9 Punkte; Realisierbarkeit eingeschraenkt aufgrund Mehrheitsaktionaer und Bewertungsvorstellungen). Fuer dieses Target-Profil T-005 (EnergiSoft B.V.) wird die Fortsetzung des Prozesses durch First Approach und LoI empfohlen.</w:t>
      </w:r>
    </w:p>
    <w:p>
      <w:pPr>
        <w:pStyle w:val="Heading3"/>
      </w:pPr>
      <w:r>
        <w:t>Naechste Schritte</w:t>
      </w:r>
    </w:p>
    <w:p>
      <w:r>
        <w:t>Fuer die priorisierten Targets: NDA-Versand, First-Approach-Meeting, anschliessend indikativer LoI mit Bewertungs-Range und Kondition. Status-Update an den Vorstand alle zwei Wochen; quartalsweise an den Aufsichtsrat (Pruefungs- bzw. Strategieausschuss).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