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Non-Disclosure Agreement (NDA) – Brennhagen (Shanghai) Co. Ltd.</w:t>
      </w:r>
    </w:p>
    <w:p>
      <w:pPr>
        <w:jc w:val="center"/>
      </w:pPr>
      <w:r>
        <w:t>Vertraulichkeitsvereinbarung im Vorfeld der DD-Phase</w:t>
      </w:r>
    </w:p>
    <w:p/>
    <w:p>
      <w:pPr>
        <w:pStyle w:val="Heading3"/>
      </w:pPr>
      <w:r>
        <w:t>Vertragsparteien</w:t>
      </w:r>
    </w:p>
    <w:p>
      <w:r>
        <w:t>(1) Brennhagen Elektronik AG, Vaihinger Strasse 120, 70567 Stuttgart, vertreten durch den Vorstand (»Empfaengerin«); und</w:t>
      </w:r>
    </w:p>
    <w:p>
      <w:r>
        <w:t>(2) Veraeusserer / JV-Partner der Brennhagen (Shanghai) Co. Ltd. (Konsolidierung JV-Restanteil 35 % von Yangtze Electronics), Shanghai (CN), 88 Pudong Avenue, Building B, 200120 Shanghai (»Offenlegende Partei«).</w:t>
      </w:r>
    </w:p>
    <w:p>
      <w:pPr>
        <w:pStyle w:val="Heading3"/>
      </w:pPr>
      <w:r>
        <w:t>Praeambel</w:t>
      </w:r>
    </w:p>
    <w:p>
      <w:r>
        <w:t>Die Parteien beabsichtigen, im Rahmen einer moeglichen Transaktion vertrauliche Informationen auszutauschen (Geschaeftsplan, Kunden- und Lieferantendaten, technische Spezifikationen, Mitarbeiterdaten, IP-Rechte). Zur Wahrung der berechtigten Geheimhaltungsinteressen werden die nachfolgenden Verpflichtungen vereinbart.</w:t>
      </w:r>
    </w:p>
    <w:p>
      <w:pPr>
        <w:pStyle w:val="Heading3"/>
      </w:pPr>
      <w:r>
        <w:t>Wesentliche Regelungen</w:t>
      </w:r>
    </w:p>
    <w:p>
      <w:pPr>
        <w:pStyle w:val="Heading4"/>
      </w:pPr>
      <w:r>
        <w:t>§ 1 Vertrauliche Informationen</w:t>
      </w:r>
    </w:p>
    <w:p>
      <w:r>
        <w:rPr>
          <w:b/>
        </w:rPr>
        <w:t xml:space="preserve">(1) </w:t>
      </w:r>
      <w:r>
        <w:t>»Vertrauliche Informationen« umfassen saemtliche schriftlich, muendlich oder elektronisch uebermittelten Informationen, soweit als »vertraulich« gekennzeichnet oder erkennbar vertraulicher Natur (Finanzdaten, Kundenlisten, Vertraege, Mitarbeiterdaten, technisches Know-how, IP-Rechte).</w:t>
      </w:r>
    </w:p>
    <w:p>
      <w:r>
        <w:rPr>
          <w:b/>
        </w:rPr>
        <w:t xml:space="preserve">(2) </w:t>
      </w:r>
      <w:r>
        <w:t>Ausgenommen sind Informationen, die (a) bereits oeffentlich bekannt sind, (b) der Empfaengerin vor Offenlegung rechtmaessig bekannt waren, (c) ohne Vertraulichkeitsverpflichtung von Dritten erlangt wurden, (d) unabhaengig entwickelt wurden.</w:t>
      </w:r>
    </w:p>
    <w:p>
      <w:pPr>
        <w:pStyle w:val="Heading4"/>
      </w:pPr>
      <w:r>
        <w:t>§ 2 Geheimhaltungspflicht</w:t>
      </w:r>
    </w:p>
    <w:p>
      <w:r>
        <w:rPr>
          <w:b/>
        </w:rPr>
        <w:t xml:space="preserve">(1) </w:t>
      </w:r>
      <w:r>
        <w:t>Die Empfaengerin verpflichtet sich, vertrauliche Informationen ausschliesslich fuer den Transaktionszweck zu verwenden und nicht an Dritte weiterzugeben, ausgenommen an die hinzugezogenen Berater (Goldman Sachs, KPMG, PwC, Hengeler Mueller, Roland Berger) unter Verpflichtung auf entsprechende Vertraulichkeit.</w:t>
      </w:r>
    </w:p>
    <w:p>
      <w:r>
        <w:rPr>
          <w:b/>
        </w:rPr>
        <w:t xml:space="preserve">(2) </w:t>
      </w:r>
      <w:r>
        <w:t>Need-to-know-Prinzip; Dokumentation der Zugriffsberechtigten in einem internen Distribution Log (verantwortlich: Stefan Richter, Vorstand BD/M&amp;A).</w:t>
      </w:r>
    </w:p>
    <w:p>
      <w:pPr>
        <w:pStyle w:val="Heading4"/>
      </w:pPr>
      <w:r>
        <w:t>§ 3 Laufzeit</w:t>
      </w:r>
    </w:p>
    <w:p>
      <w:r>
        <w:rPr>
          <w:b/>
        </w:rPr>
        <w:t xml:space="preserve">(1) </w:t>
      </w:r>
      <w:r>
        <w:t>Diese NDA gilt fuer eine Laufzeit von 3 Jahren ab Unterzeichnung bzw. 12 Monate nach Beendigung der Transaktionsgespraeche, je nachdem, welcher Zeitpunkt frueher eintritt.</w:t>
      </w:r>
    </w:p>
    <w:p>
      <w:pPr>
        <w:pStyle w:val="Heading4"/>
      </w:pPr>
      <w:r>
        <w:t>§ 4 Rueckgabe / Vernichtung</w:t>
      </w:r>
    </w:p>
    <w:p>
      <w:r>
        <w:rPr>
          <w:b/>
        </w:rPr>
        <w:t xml:space="preserve">(1) </w:t>
      </w:r>
      <w:r>
        <w:t>Nach Beendigung der Transaktionsgespraeche oder auf Anforderung sind alle vertraulichen Materialien (Papier und elektronisch) zu vernichten bzw. zurueckzugeben; Vernichtungsprotokoll auf Anforderung. Ausgenommen ist eine Archivkopie bei den Anwaelten der Empfaengerin (Hengeler Mueller) zur Erfuellung gesetzlicher Aufbewahrungspflichten.</w:t>
      </w:r>
    </w:p>
    <w:p>
      <w:pPr>
        <w:pStyle w:val="Heading4"/>
      </w:pPr>
      <w:r>
        <w:t>§ 5 Non-Solicit / No-Hire</w:t>
      </w:r>
    </w:p>
    <w:p>
      <w:r>
        <w:rPr>
          <w:b/>
        </w:rPr>
        <w:t xml:space="preserve">(1) </w:t>
      </w:r>
      <w:r>
        <w:t>Die Empfaengerin verpflichtet sich, fuer 24 Monate ab Unterzeichnung keine Schluesselpersonen der Zielgesellschaft (Top-15 Schluesselpersonen gemaess Anlage 5.1) aktiv abzuwerben. Ausgenommen sind allgemeine Stellenausschreibungen.</w:t>
      </w:r>
    </w:p>
    <w:p>
      <w:pPr>
        <w:pStyle w:val="Heading4"/>
      </w:pPr>
      <w:r>
        <w:t>§ 6 Konventionalstrafe</w:t>
      </w:r>
    </w:p>
    <w:p>
      <w:r>
        <w:rPr>
          <w:b/>
        </w:rPr>
        <w:t xml:space="preserve">(1) </w:t>
      </w:r>
      <w:r>
        <w:t>Im Fall eines vorsaetzlichen oder grob fahrlaessigen Verstoss gegen die Geheimhaltungspflicht wird eine Konventionalstrafe in Hoehe von EUR 250.000 pro Verstoss faellig, unbeschadet der Geltendmachung weiterer Schadensersatzansprueche.</w:t>
      </w:r>
    </w:p>
    <w:p>
      <w:pPr>
        <w:pStyle w:val="Heading4"/>
      </w:pPr>
      <w:r>
        <w:t>§ 7 Anwendbares Recht / Gerichtsstand</w:t>
      </w:r>
    </w:p>
    <w:p>
      <w:r>
        <w:rPr>
          <w:b/>
        </w:rPr>
        <w:t xml:space="preserve">(1) </w:t>
      </w:r>
      <w:r>
        <w:t>Deutsches Recht. Gerichtsstand: Frankfurt am Main. Salvatorische Klausel.</w:t>
      </w:r>
    </w:p>
    <w:p>
      <w:pPr>
        <w:pStyle w:val="Heading3"/>
      </w:pPr>
      <w:r>
        <w:t>Unterschriften</w:t>
      </w:r>
    </w:p>
    <w:p>
      <w:r>
        <w:t>Ort, Datum: Frankfurt am Main, den 8. Maerz 2021</w:t>
      </w:r>
    </w:p>
    <w:p>
      <w:r>
        <w:t>_________________________            _________________________</w:t>
        <w:br/>
        <w:t>Stefan Richter (oder ad interim Vorstand)                          Veraeusserer-Sprecher</w:t>
        <w:br/>
        <w:t>Vorstand BD/M&amp;A                          —</w:t>
        <w:br/>
        <w:t>Brennhagen Elektronik AG                       Brennhagen (Shanghai) Co.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